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429" w:rsidRDefault="00994429" w:rsidP="00994429">
      <w:pPr>
        <w:autoSpaceDE w:val="0"/>
        <w:autoSpaceDN w:val="0"/>
        <w:adjustRightInd w:val="0"/>
        <w:spacing w:after="0" w:line="240" w:lineRule="auto"/>
        <w:rPr>
          <w:rFonts w:ascii="Times-Roman" w:hAnsi="Times-Roman" w:cs="Times-Roman"/>
          <w:color w:val="FFFFFF"/>
          <w:sz w:val="2"/>
          <w:szCs w:val="2"/>
        </w:rPr>
      </w:pPr>
      <w:r>
        <w:rPr>
          <w:rFonts w:ascii="Times-Roman" w:hAnsi="Times-Roman" w:cs="Times-Roman"/>
          <w:color w:val="FFFFFF"/>
          <w:sz w:val="2"/>
          <w:szCs w:val="2"/>
        </w:rPr>
        <w:t>bs_bs_banner</w:t>
      </w:r>
    </w:p>
    <w:p w:rsidR="00994429" w:rsidRDefault="00994429" w:rsidP="00994429">
      <w:pPr>
        <w:autoSpaceDE w:val="0"/>
        <w:autoSpaceDN w:val="0"/>
        <w:adjustRightInd w:val="0"/>
        <w:spacing w:after="0" w:line="240" w:lineRule="auto"/>
        <w:rPr>
          <w:rFonts w:ascii="Interstate-Light" w:hAnsi="Interstate-Light" w:cs="Interstate-Light"/>
          <w:color w:val="000000"/>
          <w:sz w:val="16"/>
          <w:szCs w:val="16"/>
        </w:rPr>
      </w:pPr>
      <w:r>
        <w:rPr>
          <w:rFonts w:ascii="Interstate-Light" w:hAnsi="Interstate-Light" w:cs="Interstate-Light"/>
          <w:color w:val="000000"/>
          <w:sz w:val="16"/>
          <w:szCs w:val="16"/>
        </w:rPr>
        <w:t xml:space="preserve">Volume 37.6 November 2013 1934–48 </w:t>
      </w:r>
      <w:r w:rsidRPr="00AE2FC8">
        <w:rPr>
          <w:rFonts w:ascii="Interstate-Light" w:hAnsi="Interstate-Light" w:cs="Interstate-Light"/>
          <w:i/>
          <w:color w:val="000000"/>
          <w:sz w:val="16"/>
          <w:szCs w:val="16"/>
        </w:rPr>
        <w:t>International Journal of Urban and Regional Research</w:t>
      </w:r>
    </w:p>
    <w:p w:rsidR="00994429" w:rsidRDefault="00994429" w:rsidP="00994429">
      <w:pPr>
        <w:autoSpaceDE w:val="0"/>
        <w:autoSpaceDN w:val="0"/>
        <w:adjustRightInd w:val="0"/>
        <w:spacing w:after="0" w:line="240" w:lineRule="auto"/>
        <w:rPr>
          <w:rFonts w:ascii="Interstate-Light" w:hAnsi="Interstate-Light" w:cs="Interstate-Light"/>
          <w:color w:val="000000"/>
          <w:sz w:val="16"/>
          <w:szCs w:val="16"/>
        </w:rPr>
      </w:pPr>
      <w:r>
        <w:rPr>
          <w:rFonts w:ascii="Interstate-Light" w:hAnsi="Interstate-Light" w:cs="Interstate-Light"/>
          <w:color w:val="000000"/>
          <w:sz w:val="16"/>
          <w:szCs w:val="16"/>
        </w:rPr>
        <w:t>DOI:10.1111/1468-2427.12050</w:t>
      </w:r>
    </w:p>
    <w:p w:rsidR="00994429" w:rsidRDefault="00994429" w:rsidP="00994429">
      <w:pPr>
        <w:autoSpaceDE w:val="0"/>
        <w:autoSpaceDN w:val="0"/>
        <w:adjustRightInd w:val="0"/>
        <w:spacing w:after="0" w:line="240" w:lineRule="auto"/>
        <w:rPr>
          <w:rFonts w:ascii="Interstate-Regular" w:hAnsi="Interstate-Regular" w:cs="Interstate-Regular"/>
          <w:sz w:val="36"/>
          <w:szCs w:val="36"/>
        </w:rPr>
      </w:pPr>
      <w:r>
        <w:rPr>
          <w:rFonts w:ascii="Interstate-Light" w:hAnsi="Interstate-Light" w:cs="Interstate-Light"/>
          <w:color w:val="000000"/>
          <w:sz w:val="14"/>
          <w:szCs w:val="14"/>
        </w:rPr>
        <w:t>© 2013</w:t>
      </w:r>
    </w:p>
    <w:p w:rsidR="00994429" w:rsidRDefault="00994429" w:rsidP="00994429">
      <w:pPr>
        <w:autoSpaceDE w:val="0"/>
        <w:autoSpaceDN w:val="0"/>
        <w:adjustRightInd w:val="0"/>
        <w:spacing w:after="0" w:line="240" w:lineRule="auto"/>
        <w:rPr>
          <w:rFonts w:ascii="Interstate-Regular" w:hAnsi="Interstate-Regular" w:cs="Interstate-Regular"/>
          <w:sz w:val="36"/>
          <w:szCs w:val="36"/>
        </w:rPr>
      </w:pPr>
      <w:r>
        <w:rPr>
          <w:rFonts w:ascii="Interstate-Regular" w:hAnsi="Interstate-Regular" w:cs="Interstate-Regular"/>
          <w:sz w:val="36"/>
          <w:szCs w:val="36"/>
        </w:rPr>
        <w:t>Urban Political Ecology and the Everyday</w:t>
      </w:r>
    </w:p>
    <w:p w:rsidR="00994429" w:rsidRDefault="00994429" w:rsidP="00994429">
      <w:pPr>
        <w:autoSpaceDE w:val="0"/>
        <w:autoSpaceDN w:val="0"/>
        <w:adjustRightInd w:val="0"/>
        <w:spacing w:after="0" w:line="240" w:lineRule="auto"/>
        <w:rPr>
          <w:rFonts w:ascii="Interstate-Regular" w:hAnsi="Interstate-Regular" w:cs="Interstate-Regular"/>
          <w:sz w:val="36"/>
          <w:szCs w:val="36"/>
        </w:rPr>
      </w:pPr>
      <w:r>
        <w:rPr>
          <w:rFonts w:ascii="Interstate-Regular" w:hAnsi="Interstate-Regular" w:cs="Interstate-Regular"/>
          <w:sz w:val="36"/>
          <w:szCs w:val="36"/>
        </w:rPr>
        <w:t>Reconfiguration of Urban Infrastructure</w:t>
      </w:r>
    </w:p>
    <w:p w:rsidR="00994429" w:rsidRDefault="00994429" w:rsidP="00994429">
      <w:pPr>
        <w:autoSpaceDE w:val="0"/>
        <w:autoSpaceDN w:val="0"/>
        <w:adjustRightInd w:val="0"/>
        <w:spacing w:after="0" w:line="240" w:lineRule="auto"/>
        <w:rPr>
          <w:rFonts w:ascii="Interstate-Regular" w:hAnsi="Interstate-Regular" w:cs="Interstate-Regular"/>
          <w:sz w:val="26"/>
          <w:szCs w:val="26"/>
        </w:rPr>
      </w:pPr>
      <w:r>
        <w:rPr>
          <w:rFonts w:ascii="Interstate-Regular" w:hAnsi="Interstate-Regular" w:cs="Interstate-Regular"/>
          <w:sz w:val="26"/>
          <w:szCs w:val="26"/>
        </w:rPr>
        <w:t>VANESA CASTÁN BROTO and HARRIET BULKELEY</w:t>
      </w:r>
    </w:p>
    <w:p w:rsidR="00994429" w:rsidRDefault="00994429" w:rsidP="00994429">
      <w:pPr>
        <w:autoSpaceDE w:val="0"/>
        <w:autoSpaceDN w:val="0"/>
        <w:adjustRightInd w:val="0"/>
        <w:spacing w:after="0" w:line="240" w:lineRule="auto"/>
        <w:rPr>
          <w:rFonts w:ascii="Interstate-Regular" w:hAnsi="Interstate-Regular" w:cs="Interstate-Regular"/>
          <w:sz w:val="24"/>
          <w:szCs w:val="24"/>
        </w:rPr>
      </w:pPr>
      <w:r>
        <w:rPr>
          <w:rFonts w:ascii="Interstate-Regular" w:hAnsi="Interstate-Regular" w:cs="Interstate-Regular"/>
          <w:sz w:val="24"/>
          <w:szCs w:val="24"/>
        </w:rPr>
        <w:t>Abstract</w:t>
      </w:r>
    </w:p>
    <w:p w:rsidR="00BF687D" w:rsidRDefault="00994429" w:rsidP="00A07955">
      <w:pPr>
        <w:autoSpaceDE w:val="0"/>
        <w:autoSpaceDN w:val="0"/>
        <w:adjustRightInd w:val="0"/>
        <w:spacing w:after="0" w:line="240" w:lineRule="auto"/>
        <w:rPr>
          <w:rFonts w:ascii="Times-Italic" w:hAnsi="Times-Italic" w:cs="Times-Italic"/>
          <w:i/>
          <w:iCs/>
          <w:sz w:val="21"/>
          <w:szCs w:val="21"/>
        </w:rPr>
      </w:pPr>
      <w:r>
        <w:rPr>
          <w:rFonts w:ascii="Times-Italic" w:hAnsi="Times-Italic" w:cs="Times-Italic"/>
          <w:i/>
          <w:iCs/>
          <w:sz w:val="21"/>
          <w:szCs w:val="21"/>
        </w:rPr>
        <w:t>Climate change governance is increasingl</w:t>
      </w:r>
      <w:r w:rsidR="00A07955">
        <w:rPr>
          <w:rFonts w:ascii="Times-Italic" w:hAnsi="Times-Italic" w:cs="Times-Italic"/>
          <w:i/>
          <w:iCs/>
          <w:sz w:val="21"/>
          <w:szCs w:val="21"/>
        </w:rPr>
        <w:t xml:space="preserve">y being conducted through urban </w:t>
      </w:r>
      <w:r>
        <w:rPr>
          <w:rFonts w:ascii="Times-Italic" w:hAnsi="Times-Italic" w:cs="Times-Italic"/>
          <w:i/>
          <w:iCs/>
          <w:sz w:val="21"/>
          <w:szCs w:val="21"/>
        </w:rPr>
        <w:t>climate change experiments, purposive interventions</w:t>
      </w:r>
      <w:r w:rsidR="00A07955">
        <w:rPr>
          <w:rFonts w:ascii="Times-Italic" w:hAnsi="Times-Italic" w:cs="Times-Italic"/>
          <w:i/>
          <w:iCs/>
          <w:sz w:val="21"/>
          <w:szCs w:val="21"/>
        </w:rPr>
        <w:t xml:space="preserve"> that seek to reconfigure urban </w:t>
      </w:r>
      <w:r>
        <w:rPr>
          <w:rFonts w:ascii="Times-Italic" w:hAnsi="Times-Italic" w:cs="Times-Italic"/>
          <w:i/>
          <w:iCs/>
          <w:sz w:val="21"/>
          <w:szCs w:val="21"/>
        </w:rPr>
        <w:t>sociotechnical systems to achieve low-carbon and resilie</w:t>
      </w:r>
      <w:r w:rsidR="00A07955">
        <w:rPr>
          <w:rFonts w:ascii="Times-Italic" w:hAnsi="Times-Italic" w:cs="Times-Italic"/>
          <w:i/>
          <w:iCs/>
          <w:sz w:val="21"/>
          <w:szCs w:val="21"/>
        </w:rPr>
        <w:t xml:space="preserve">nt cities. In examining how </w:t>
      </w:r>
      <w:r>
        <w:rPr>
          <w:rFonts w:ascii="Times-Italic" w:hAnsi="Times-Italic" w:cs="Times-Italic"/>
          <w:i/>
          <w:iCs/>
          <w:sz w:val="21"/>
          <w:szCs w:val="21"/>
        </w:rPr>
        <w:t>experiments take effect, we suggest that we need to unders</w:t>
      </w:r>
      <w:r w:rsidR="00A07955">
        <w:rPr>
          <w:rFonts w:ascii="Times-Italic" w:hAnsi="Times-Italic" w:cs="Times-Italic"/>
          <w:i/>
          <w:iCs/>
          <w:sz w:val="21"/>
          <w:szCs w:val="21"/>
        </w:rPr>
        <w:t xml:space="preserve">tand not only how they are made </w:t>
      </w:r>
      <w:r>
        <w:rPr>
          <w:rFonts w:ascii="Times-Italic" w:hAnsi="Times-Italic" w:cs="Times-Italic"/>
          <w:i/>
          <w:iCs/>
          <w:sz w:val="21"/>
          <w:szCs w:val="21"/>
        </w:rPr>
        <w:t>and assembled, but also how they are maintained within s</w:t>
      </w:r>
      <w:r w:rsidR="00A07955">
        <w:rPr>
          <w:rFonts w:ascii="Times-Italic" w:hAnsi="Times-Italic" w:cs="Times-Italic"/>
          <w:i/>
          <w:iCs/>
          <w:sz w:val="21"/>
          <w:szCs w:val="21"/>
        </w:rPr>
        <w:t xml:space="preserve">pecific urban contexts. Drawing on </w:t>
      </w:r>
      <w:r>
        <w:rPr>
          <w:rFonts w:ascii="Times-Italic" w:hAnsi="Times-Italic" w:cs="Times-Italic"/>
          <w:i/>
          <w:iCs/>
          <w:sz w:val="21"/>
          <w:szCs w:val="21"/>
        </w:rPr>
        <w:t>literatures from urban political ecology and the spec</w:t>
      </w:r>
      <w:r w:rsidR="00A07955">
        <w:rPr>
          <w:rFonts w:ascii="Times-Italic" w:hAnsi="Times-Italic" w:cs="Times-Italic"/>
          <w:i/>
          <w:iCs/>
          <w:sz w:val="21"/>
          <w:szCs w:val="21"/>
        </w:rPr>
        <w:t xml:space="preserve">ific debate on urban repair and </w:t>
      </w:r>
      <w:r>
        <w:rPr>
          <w:rFonts w:ascii="Times-Italic" w:hAnsi="Times-Italic" w:cs="Times-Italic"/>
          <w:i/>
          <w:iCs/>
          <w:sz w:val="21"/>
          <w:szCs w:val="21"/>
        </w:rPr>
        <w:t>maintenance, this article examines maintenance in two</w:t>
      </w:r>
      <w:r w:rsidR="00A07955">
        <w:rPr>
          <w:rFonts w:ascii="Times-Italic" w:hAnsi="Times-Italic" w:cs="Times-Italic"/>
          <w:i/>
          <w:iCs/>
          <w:sz w:val="21"/>
          <w:szCs w:val="21"/>
        </w:rPr>
        <w:t xml:space="preserve"> case studies of climate change </w:t>
      </w:r>
      <w:r>
        <w:rPr>
          <w:rFonts w:ascii="Times-Italic" w:hAnsi="Times-Italic" w:cs="Times-Italic"/>
          <w:i/>
          <w:iCs/>
          <w:sz w:val="21"/>
          <w:szCs w:val="21"/>
        </w:rPr>
        <w:t>experiments in housing in Bangalore (India) and M</w:t>
      </w:r>
      <w:r w:rsidR="00A07955">
        <w:rPr>
          <w:rFonts w:ascii="Times-Italic" w:hAnsi="Times-Italic" w:cs="Times-Italic"/>
          <w:i/>
          <w:iCs/>
          <w:sz w:val="21"/>
          <w:szCs w:val="21"/>
        </w:rPr>
        <w:t xml:space="preserve">onterrey (Mexico). We find that </w:t>
      </w:r>
      <w:r>
        <w:rPr>
          <w:rFonts w:ascii="Times-Italic" w:hAnsi="Times-Italic" w:cs="Times-Italic"/>
          <w:i/>
          <w:iCs/>
          <w:sz w:val="21"/>
          <w:szCs w:val="21"/>
        </w:rPr>
        <w:t>maintenance is a crucial process through which not only u</w:t>
      </w:r>
      <w:r w:rsidR="00A07955">
        <w:rPr>
          <w:rFonts w:ascii="Times-Italic" w:hAnsi="Times-Italic" w:cs="Times-Italic"/>
          <w:i/>
          <w:iCs/>
          <w:sz w:val="21"/>
          <w:szCs w:val="21"/>
        </w:rPr>
        <w:t xml:space="preserve">rban obduracy is preserved, but </w:t>
      </w:r>
      <w:r>
        <w:rPr>
          <w:rFonts w:ascii="Times-Italic" w:hAnsi="Times-Italic" w:cs="Times-Italic"/>
          <w:i/>
          <w:iCs/>
          <w:sz w:val="21"/>
          <w:szCs w:val="21"/>
        </w:rPr>
        <w:t xml:space="preserve">also the novel and innovative character of the experiment </w:t>
      </w:r>
      <w:r w:rsidR="00A07955">
        <w:rPr>
          <w:rFonts w:ascii="Times-Italic" w:hAnsi="Times-Italic" w:cs="Times-Italic"/>
          <w:i/>
          <w:iCs/>
          <w:sz w:val="21"/>
          <w:szCs w:val="21"/>
        </w:rPr>
        <w:t xml:space="preserve">is asserted and reproduced. The </w:t>
      </w:r>
      <w:r>
        <w:rPr>
          <w:rFonts w:ascii="Times-Italic" w:hAnsi="Times-Italic" w:cs="Times-Italic"/>
          <w:i/>
          <w:iCs/>
          <w:sz w:val="21"/>
          <w:szCs w:val="21"/>
        </w:rPr>
        <w:t>process of ‘maintaining’ experiments is a precarious o</w:t>
      </w:r>
      <w:r w:rsidR="00A07955">
        <w:rPr>
          <w:rFonts w:ascii="Times-Italic" w:hAnsi="Times-Italic" w:cs="Times-Italic"/>
          <w:i/>
          <w:iCs/>
          <w:sz w:val="21"/>
          <w:szCs w:val="21"/>
        </w:rPr>
        <w:t xml:space="preserve">ne, which requires a continuous </w:t>
      </w:r>
      <w:r>
        <w:rPr>
          <w:rFonts w:ascii="Times-Italic" w:hAnsi="Times-Italic" w:cs="Times-Italic"/>
          <w:i/>
          <w:iCs/>
          <w:sz w:val="21"/>
          <w:szCs w:val="21"/>
        </w:rPr>
        <w:t>external input in terms of remaking the experiment ma</w:t>
      </w:r>
      <w:r w:rsidR="00A07955">
        <w:rPr>
          <w:rFonts w:ascii="Times-Italic" w:hAnsi="Times-Italic" w:cs="Times-Italic"/>
          <w:i/>
          <w:iCs/>
          <w:sz w:val="21"/>
          <w:szCs w:val="21"/>
        </w:rPr>
        <w:t xml:space="preserve">terially and discursively.This </w:t>
      </w:r>
      <w:r>
        <w:rPr>
          <w:rFonts w:ascii="Times-Italic" w:hAnsi="Times-Italic" w:cs="Times-Italic"/>
          <w:i/>
          <w:iCs/>
          <w:sz w:val="21"/>
          <w:szCs w:val="21"/>
        </w:rPr>
        <w:t>process causes further reconfigurations beyond the exper</w:t>
      </w:r>
      <w:r w:rsidR="00A07955">
        <w:rPr>
          <w:rFonts w:ascii="Times-Italic" w:hAnsi="Times-Italic" w:cs="Times-Italic"/>
          <w:i/>
          <w:iCs/>
          <w:sz w:val="21"/>
          <w:szCs w:val="21"/>
        </w:rPr>
        <w:t xml:space="preserve">iment, changing the patterns of </w:t>
      </w:r>
      <w:r>
        <w:rPr>
          <w:rFonts w:ascii="Times-Italic" w:hAnsi="Times-Italic" w:cs="Times-Italic"/>
          <w:i/>
          <w:iCs/>
          <w:sz w:val="21"/>
          <w:szCs w:val="21"/>
        </w:rPr>
        <w:t>responsibility attribution and acceptability that configure the urban fabric.</w:t>
      </w:r>
    </w:p>
    <w:p w:rsidR="00994429" w:rsidRDefault="00994429" w:rsidP="00994429">
      <w:pPr>
        <w:rPr>
          <w:rFonts w:ascii="Times-Italic" w:hAnsi="Times-Italic" w:cs="Times-Italic"/>
          <w:i/>
          <w:iCs/>
          <w:sz w:val="21"/>
          <w:szCs w:val="21"/>
        </w:rPr>
      </w:pPr>
    </w:p>
    <w:p w:rsidR="00994429" w:rsidRPr="00AE2FC8" w:rsidRDefault="00AE2FC8" w:rsidP="00994429">
      <w:pPr>
        <w:autoSpaceDE w:val="0"/>
        <w:autoSpaceDN w:val="0"/>
        <w:adjustRightInd w:val="0"/>
        <w:spacing w:after="0" w:line="240" w:lineRule="auto"/>
        <w:rPr>
          <w:rFonts w:ascii="AvenirNextLTPro-Bold" w:hAnsi="AvenirNextLTPro-Bold" w:cs="AvenirNextLTPro-Bold"/>
          <w:bCs/>
          <w:i/>
          <w:sz w:val="15"/>
          <w:szCs w:val="13"/>
        </w:rPr>
      </w:pPr>
      <w:r w:rsidRPr="00AE2FC8">
        <w:rPr>
          <w:rFonts w:ascii="AvenirNextLTPro-Bold" w:hAnsi="AvenirNextLTPro-Bold" w:cs="AvenirNextLTPro-Bold"/>
          <w:bCs/>
          <w:i/>
          <w:sz w:val="15"/>
          <w:szCs w:val="13"/>
        </w:rPr>
        <w:t>International Journal of Urban and Regional Research</w:t>
      </w:r>
    </w:p>
    <w:p w:rsidR="00994429" w:rsidRPr="00AE2FC8" w:rsidRDefault="00994429" w:rsidP="00994429">
      <w:pPr>
        <w:autoSpaceDE w:val="0"/>
        <w:autoSpaceDN w:val="0"/>
        <w:adjustRightInd w:val="0"/>
        <w:spacing w:after="0" w:line="240" w:lineRule="auto"/>
        <w:rPr>
          <w:rFonts w:ascii="AvenirNextLTPro-Medium" w:hAnsi="AvenirNextLTPro-Medium" w:cs="AvenirNextLTPro-Medium"/>
          <w:sz w:val="15"/>
          <w:szCs w:val="13"/>
        </w:rPr>
      </w:pPr>
      <w:r w:rsidRPr="00AE2FC8">
        <w:rPr>
          <w:rFonts w:ascii="AvenirNextLTPro-Medium" w:hAnsi="AvenirNextLTPro-Medium" w:cs="AvenirNextLTPro-Medium"/>
          <w:sz w:val="15"/>
          <w:szCs w:val="13"/>
        </w:rPr>
        <w:t>DOI:10.1111/1468-2427.12194</w:t>
      </w:r>
    </w:p>
    <w:p w:rsidR="00994429" w:rsidRPr="00AE2FC8" w:rsidRDefault="00994429" w:rsidP="00994429">
      <w:pPr>
        <w:autoSpaceDE w:val="0"/>
        <w:autoSpaceDN w:val="0"/>
        <w:adjustRightInd w:val="0"/>
        <w:spacing w:after="0" w:line="240" w:lineRule="auto"/>
        <w:rPr>
          <w:rFonts w:ascii="AvenirNextLTPro-Bold" w:hAnsi="AvenirNextLTPro-Bold" w:cs="AvenirNextLTPro-Bold"/>
          <w:b/>
          <w:bCs/>
          <w:sz w:val="15"/>
          <w:szCs w:val="13"/>
        </w:rPr>
      </w:pPr>
      <w:r w:rsidRPr="00AE2FC8">
        <w:rPr>
          <w:rFonts w:ascii="AvenirNextLTPro-Bold" w:hAnsi="AvenirNextLTPro-Bold" w:cs="AvenirNextLTPro-Bold"/>
          <w:b/>
          <w:bCs/>
          <w:sz w:val="15"/>
          <w:szCs w:val="13"/>
        </w:rPr>
        <w:t>581</w:t>
      </w:r>
    </w:p>
    <w:p w:rsidR="00994429" w:rsidRPr="00AE2FC8" w:rsidRDefault="00994429" w:rsidP="00994429">
      <w:pPr>
        <w:autoSpaceDE w:val="0"/>
        <w:autoSpaceDN w:val="0"/>
        <w:adjustRightInd w:val="0"/>
        <w:spacing w:after="0" w:line="240" w:lineRule="auto"/>
        <w:rPr>
          <w:rFonts w:ascii="AvenirNextLTPro-Medium" w:hAnsi="AvenirNextLTPro-Medium" w:cs="AvenirNextLTPro-Medium"/>
          <w:sz w:val="15"/>
          <w:szCs w:val="13"/>
        </w:rPr>
      </w:pPr>
      <w:r w:rsidRPr="00AE2FC8">
        <w:rPr>
          <w:rFonts w:ascii="AvenirNextLTPro-Medium" w:hAnsi="AvenirNextLTPro-Medium" w:cs="AvenirNextLTPro-Medium"/>
          <w:sz w:val="15"/>
          <w:szCs w:val="13"/>
        </w:rPr>
        <w:t>© 2015 urban research publications limited</w:t>
      </w:r>
    </w:p>
    <w:p w:rsidR="00994429" w:rsidRDefault="00994429" w:rsidP="00994429">
      <w:pPr>
        <w:autoSpaceDE w:val="0"/>
        <w:autoSpaceDN w:val="0"/>
        <w:adjustRightInd w:val="0"/>
        <w:spacing w:after="0" w:line="240" w:lineRule="auto"/>
        <w:rPr>
          <w:rFonts w:ascii="AvenirNextLTPro-Bold" w:hAnsi="AvenirNextLTPro-Bold" w:cs="AvenirNextLTPro-Bold"/>
          <w:b/>
          <w:bCs/>
          <w:sz w:val="42"/>
          <w:szCs w:val="42"/>
        </w:rPr>
      </w:pPr>
      <w:r>
        <w:rPr>
          <w:rFonts w:ascii="AvenirNextLTPro-Bold" w:hAnsi="AvenirNextLTPro-Bold" w:cs="AvenirNextLTPro-Bold"/>
          <w:b/>
          <w:bCs/>
          <w:sz w:val="42"/>
          <w:szCs w:val="42"/>
        </w:rPr>
        <w:t>— DEBATES &amp; DEVELOPMENTS</w:t>
      </w:r>
    </w:p>
    <w:p w:rsidR="00994429" w:rsidRDefault="00994429" w:rsidP="00994429">
      <w:pPr>
        <w:autoSpaceDE w:val="0"/>
        <w:autoSpaceDN w:val="0"/>
        <w:adjustRightInd w:val="0"/>
        <w:spacing w:after="0" w:line="240" w:lineRule="auto"/>
        <w:rPr>
          <w:rFonts w:ascii="AvenirNextLTPro-Bold" w:hAnsi="AvenirNextLTPro-Bold" w:cs="AvenirNextLTPro-Bold"/>
          <w:b/>
          <w:bCs/>
          <w:sz w:val="28"/>
          <w:szCs w:val="28"/>
        </w:rPr>
      </w:pPr>
      <w:r>
        <w:rPr>
          <w:rFonts w:ascii="AvenirNextLTPro-Bold" w:hAnsi="AvenirNextLTPro-Bold" w:cs="AvenirNextLTPro-Bold"/>
          <w:b/>
          <w:bCs/>
          <w:sz w:val="28"/>
          <w:szCs w:val="28"/>
        </w:rPr>
        <w:t>— THE POLITICS OF POST-SUBURBAN</w:t>
      </w:r>
    </w:p>
    <w:p w:rsidR="00994429" w:rsidRDefault="00994429" w:rsidP="00994429">
      <w:pPr>
        <w:autoSpaceDE w:val="0"/>
        <w:autoSpaceDN w:val="0"/>
        <w:adjustRightInd w:val="0"/>
        <w:spacing w:after="0" w:line="240" w:lineRule="auto"/>
        <w:rPr>
          <w:rFonts w:ascii="AvenirNextLTPro-Bold" w:hAnsi="AvenirNextLTPro-Bold" w:cs="AvenirNextLTPro-Bold"/>
          <w:b/>
          <w:bCs/>
          <w:sz w:val="28"/>
          <w:szCs w:val="28"/>
        </w:rPr>
      </w:pPr>
      <w:r>
        <w:rPr>
          <w:rFonts w:ascii="AvenirNextLTPro-Bold" w:hAnsi="AvenirNextLTPro-Bold" w:cs="AvenirNextLTPro-Bold"/>
          <w:b/>
          <w:bCs/>
          <w:sz w:val="28"/>
          <w:szCs w:val="28"/>
        </w:rPr>
        <w:t>DENSIFICATION IN CANADA AND FRANCE</w:t>
      </w:r>
    </w:p>
    <w:p w:rsidR="00994429" w:rsidRDefault="00AE2FC8" w:rsidP="00994429">
      <w:pPr>
        <w:autoSpaceDE w:val="0"/>
        <w:autoSpaceDN w:val="0"/>
        <w:adjustRightInd w:val="0"/>
        <w:spacing w:after="0" w:line="240" w:lineRule="auto"/>
        <w:rPr>
          <w:rFonts w:ascii="AvenirNextLTPro-Medium" w:hAnsi="AvenirNextLTPro-Medium" w:cs="AvenirNextLTPro-Medium"/>
          <w:sz w:val="18"/>
          <w:szCs w:val="18"/>
        </w:rPr>
      </w:pPr>
      <w:r>
        <w:rPr>
          <w:rFonts w:ascii="AvenirNextLTPro-Medium" w:hAnsi="AvenirNextLTPro-Medium" w:cs="AvenirNextLTPro-Medium"/>
          <w:sz w:val="18"/>
          <w:szCs w:val="18"/>
        </w:rPr>
        <w:t>Eric Charmes and Roger Keil</w:t>
      </w:r>
    </w:p>
    <w:p w:rsidR="00994429" w:rsidRDefault="00994429" w:rsidP="00994429">
      <w:pPr>
        <w:autoSpaceDE w:val="0"/>
        <w:autoSpaceDN w:val="0"/>
        <w:adjustRightInd w:val="0"/>
        <w:spacing w:after="0" w:line="240" w:lineRule="auto"/>
        <w:rPr>
          <w:rFonts w:ascii="AvenirNextLTPro-Bold" w:hAnsi="AvenirNextLTPro-Bold" w:cs="AvenirNextLTPro-Bold"/>
          <w:b/>
          <w:bCs/>
          <w:sz w:val="18"/>
          <w:szCs w:val="18"/>
        </w:rPr>
      </w:pPr>
      <w:r>
        <w:rPr>
          <w:rFonts w:ascii="AvenirNextLTPro-Bold" w:hAnsi="AvenirNextLTPro-Bold" w:cs="AvenirNextLTPro-Bold"/>
          <w:b/>
          <w:bCs/>
          <w:sz w:val="18"/>
          <w:szCs w:val="18"/>
        </w:rPr>
        <w:t>Abstract</w:t>
      </w:r>
    </w:p>
    <w:p w:rsidR="00994429" w:rsidRDefault="00994429" w:rsidP="00994429">
      <w:pPr>
        <w:autoSpaceDE w:val="0"/>
        <w:autoSpaceDN w:val="0"/>
        <w:adjustRightInd w:val="0"/>
        <w:spacing w:after="0" w:line="240" w:lineRule="auto"/>
        <w:rPr>
          <w:rFonts w:ascii="MercuryTextG3-Italic" w:hAnsi="MercuryTextG3-Italic" w:cs="MercuryTextG3-Italic"/>
          <w:i/>
          <w:iCs/>
          <w:sz w:val="20"/>
          <w:szCs w:val="20"/>
        </w:rPr>
      </w:pPr>
      <w:r>
        <w:rPr>
          <w:rFonts w:ascii="MercuryTextG3-Italic" w:hAnsi="MercuryTextG3-Italic" w:cs="MercuryTextG3-Italic"/>
          <w:i/>
          <w:iCs/>
          <w:sz w:val="20"/>
          <w:szCs w:val="20"/>
        </w:rPr>
        <w:t>This debate specifically focuses on densificati</w:t>
      </w:r>
      <w:r w:rsidR="00A07955">
        <w:rPr>
          <w:rFonts w:ascii="MercuryTextG3-Italic" w:hAnsi="MercuryTextG3-Italic" w:cs="MercuryTextG3-Italic"/>
          <w:i/>
          <w:iCs/>
          <w:sz w:val="20"/>
          <w:szCs w:val="20"/>
        </w:rPr>
        <w:t xml:space="preserve">on as a particular dimension of </w:t>
      </w:r>
      <w:r>
        <w:rPr>
          <w:rFonts w:ascii="MercuryTextG3-Italic" w:hAnsi="MercuryTextG3-Italic" w:cs="MercuryTextG3-Italic"/>
          <w:i/>
          <w:iCs/>
          <w:sz w:val="20"/>
          <w:szCs w:val="20"/>
        </w:rPr>
        <w:t>(post-) suburbanization. In the introduction, we discuss densification, along with ‘compactness’</w:t>
      </w:r>
      <w:r w:rsidR="00A07955">
        <w:rPr>
          <w:rFonts w:ascii="MercuryTextG3-Italic" w:hAnsi="MercuryTextG3-Italic" w:cs="MercuryTextG3-Italic"/>
          <w:i/>
          <w:iCs/>
          <w:sz w:val="20"/>
          <w:szCs w:val="20"/>
        </w:rPr>
        <w:t xml:space="preserve"> </w:t>
      </w:r>
      <w:r>
        <w:rPr>
          <w:rFonts w:ascii="MercuryTextG3-Italic" w:hAnsi="MercuryTextG3-Italic" w:cs="MercuryTextG3-Italic"/>
          <w:i/>
          <w:iCs/>
          <w:sz w:val="20"/>
          <w:szCs w:val="20"/>
        </w:rPr>
        <w:t>and ‘intensification’, conceptual terms that hav</w:t>
      </w:r>
      <w:r w:rsidR="00A07955">
        <w:rPr>
          <w:rFonts w:ascii="MercuryTextG3-Italic" w:hAnsi="MercuryTextG3-Italic" w:cs="MercuryTextG3-Italic"/>
          <w:i/>
          <w:iCs/>
          <w:sz w:val="20"/>
          <w:szCs w:val="20"/>
        </w:rPr>
        <w:t xml:space="preserve">e become buzzwords within urban planning. </w:t>
      </w:r>
      <w:r>
        <w:rPr>
          <w:rFonts w:ascii="MercuryTextG3-Italic" w:hAnsi="MercuryTextG3-Italic" w:cs="MercuryTextG3-Italic"/>
          <w:i/>
          <w:iCs/>
          <w:sz w:val="20"/>
          <w:szCs w:val="20"/>
        </w:rPr>
        <w:t>Objectives associated with these tend to be presented in the literatu</w:t>
      </w:r>
      <w:r w:rsidR="00A07955">
        <w:rPr>
          <w:rFonts w:ascii="MercuryTextG3-Italic" w:hAnsi="MercuryTextG3-Italic" w:cs="MercuryTextG3-Italic"/>
          <w:i/>
          <w:iCs/>
          <w:sz w:val="20"/>
          <w:szCs w:val="20"/>
        </w:rPr>
        <w:t xml:space="preserve">re within a normative </w:t>
      </w:r>
      <w:r>
        <w:rPr>
          <w:rFonts w:ascii="MercuryTextG3-Italic" w:hAnsi="MercuryTextG3-Italic" w:cs="MercuryTextG3-Italic"/>
          <w:i/>
          <w:iCs/>
          <w:sz w:val="20"/>
          <w:szCs w:val="20"/>
        </w:rPr>
        <w:t>framework, structured by a critique of the negativ</w:t>
      </w:r>
      <w:r w:rsidR="00A07955">
        <w:rPr>
          <w:rFonts w:ascii="MercuryTextG3-Italic" w:hAnsi="MercuryTextG3-Italic" w:cs="MercuryTextG3-Italic"/>
          <w:i/>
          <w:iCs/>
          <w:sz w:val="20"/>
          <w:szCs w:val="20"/>
        </w:rPr>
        <w:t xml:space="preserve">e effects attributed to sprawl. </w:t>
      </w:r>
      <w:r>
        <w:rPr>
          <w:rFonts w:ascii="MercuryTextG3-Italic" w:hAnsi="MercuryTextG3-Italic" w:cs="MercuryTextG3-Italic"/>
          <w:i/>
          <w:iCs/>
          <w:sz w:val="20"/>
          <w:szCs w:val="20"/>
        </w:rPr>
        <w:t>The perspective here is different. It is not normative but c</w:t>
      </w:r>
      <w:r w:rsidR="00A07955">
        <w:rPr>
          <w:rFonts w:ascii="MercuryTextG3-Italic" w:hAnsi="MercuryTextG3-Italic" w:cs="MercuryTextG3-Italic"/>
          <w:i/>
          <w:iCs/>
          <w:sz w:val="20"/>
          <w:szCs w:val="20"/>
        </w:rPr>
        <w:t xml:space="preserve">ritical, and articulated around </w:t>
      </w:r>
      <w:r>
        <w:rPr>
          <w:rFonts w:ascii="MercuryTextG3-Italic" w:hAnsi="MercuryTextG3-Italic" w:cs="MercuryTextG3-Italic"/>
          <w:i/>
          <w:iCs/>
          <w:sz w:val="20"/>
          <w:szCs w:val="20"/>
        </w:rPr>
        <w:t xml:space="preserve">the analysis </w:t>
      </w:r>
      <w:r w:rsidR="00A07955">
        <w:rPr>
          <w:rFonts w:ascii="MercuryTextG3-Italic" w:hAnsi="MercuryTextG3-Italic" w:cs="MercuryTextG3-Italic"/>
          <w:i/>
          <w:iCs/>
          <w:sz w:val="20"/>
          <w:szCs w:val="20"/>
        </w:rPr>
        <w:t xml:space="preserve">of political and social issues, </w:t>
      </w:r>
      <w:r>
        <w:rPr>
          <w:rFonts w:ascii="MercuryTextG3-Italic" w:hAnsi="MercuryTextG3-Italic" w:cs="MercuryTextG3-Italic"/>
          <w:i/>
          <w:iCs/>
          <w:sz w:val="20"/>
          <w:szCs w:val="20"/>
        </w:rPr>
        <w:t>related to the trans</w:t>
      </w:r>
      <w:r w:rsidR="00A07955">
        <w:rPr>
          <w:rFonts w:ascii="MercuryTextG3-Italic" w:hAnsi="MercuryTextG3-Italic" w:cs="MercuryTextG3-Italic"/>
          <w:i/>
          <w:iCs/>
          <w:sz w:val="20"/>
          <w:szCs w:val="20"/>
        </w:rPr>
        <w:t xml:space="preserve">formation of wider metropolitan </w:t>
      </w:r>
      <w:r>
        <w:rPr>
          <w:rFonts w:ascii="MercuryTextG3-Italic" w:hAnsi="MercuryTextG3-Italic" w:cs="MercuryTextG3-Italic"/>
          <w:i/>
          <w:iCs/>
          <w:sz w:val="20"/>
          <w:szCs w:val="20"/>
        </w:rPr>
        <w:t>space. Three main themes are developed: (1) the politics of d</w:t>
      </w:r>
      <w:r w:rsidR="00A07955">
        <w:rPr>
          <w:rFonts w:ascii="MercuryTextG3-Italic" w:hAnsi="MercuryTextG3-Italic" w:cs="MercuryTextG3-Italic"/>
          <w:i/>
          <w:iCs/>
          <w:sz w:val="20"/>
          <w:szCs w:val="20"/>
        </w:rPr>
        <w:t xml:space="preserve">ensification (the environmental </w:t>
      </w:r>
      <w:r>
        <w:rPr>
          <w:rFonts w:ascii="MercuryTextG3-Italic" w:hAnsi="MercuryTextG3-Italic" w:cs="MercuryTextG3-Italic"/>
          <w:i/>
          <w:iCs/>
          <w:sz w:val="20"/>
          <w:szCs w:val="20"/>
        </w:rPr>
        <w:t>arguments favouring densification are highly p</w:t>
      </w:r>
      <w:r w:rsidR="00A07955">
        <w:rPr>
          <w:rFonts w:ascii="MercuryTextG3-Italic" w:hAnsi="MercuryTextG3-Italic" w:cs="MercuryTextG3-Italic"/>
          <w:i/>
          <w:iCs/>
          <w:sz w:val="20"/>
          <w:szCs w:val="20"/>
        </w:rPr>
        <w:t xml:space="preserve">lastic, and are thus often used </w:t>
      </w:r>
      <w:r>
        <w:rPr>
          <w:rFonts w:ascii="MercuryTextG3-Italic" w:hAnsi="MercuryTextG3-Italic" w:cs="MercuryTextG3-Italic"/>
          <w:i/>
          <w:iCs/>
          <w:sz w:val="20"/>
          <w:szCs w:val="20"/>
        </w:rPr>
        <w:t>to defend projects or initiatives which are actually determ</w:t>
      </w:r>
      <w:r w:rsidR="00A07955">
        <w:rPr>
          <w:rFonts w:ascii="MercuryTextG3-Italic" w:hAnsi="MercuryTextG3-Italic" w:cs="MercuryTextG3-Italic"/>
          <w:i/>
          <w:iCs/>
          <w:sz w:val="20"/>
          <w:szCs w:val="20"/>
        </w:rPr>
        <w:t xml:space="preserve">ined by other agendas); (2) why </w:t>
      </w:r>
      <w:r>
        <w:rPr>
          <w:rFonts w:ascii="MercuryTextG3-Italic" w:hAnsi="MercuryTextG3-Italic" w:cs="MercuryTextG3-Italic"/>
          <w:i/>
          <w:iCs/>
          <w:sz w:val="20"/>
          <w:szCs w:val="20"/>
        </w:rPr>
        <w:t>morphology matters (a similar number of houses or squa</w:t>
      </w:r>
      <w:r w:rsidR="00A07955">
        <w:rPr>
          <w:rFonts w:ascii="MercuryTextG3-Italic" w:hAnsi="MercuryTextG3-Italic" w:cs="MercuryTextG3-Italic"/>
          <w:i/>
          <w:iCs/>
          <w:sz w:val="20"/>
          <w:szCs w:val="20"/>
        </w:rPr>
        <w:t xml:space="preserve">re metres can be established in </w:t>
      </w:r>
      <w:r>
        <w:rPr>
          <w:rFonts w:ascii="MercuryTextG3-Italic" w:hAnsi="MercuryTextG3-Italic" w:cs="MercuryTextG3-Italic"/>
          <w:i/>
          <w:iCs/>
          <w:sz w:val="20"/>
          <w:szCs w:val="20"/>
        </w:rPr>
        <w:t>many different ways, and those different ways have politic</w:t>
      </w:r>
      <w:r w:rsidR="00A07955">
        <w:rPr>
          <w:rFonts w:ascii="MercuryTextG3-Italic" w:hAnsi="MercuryTextG3-Italic" w:cs="MercuryTextG3-Italic"/>
          <w:i/>
          <w:iCs/>
          <w:sz w:val="20"/>
          <w:szCs w:val="20"/>
        </w:rPr>
        <w:t xml:space="preserve">al and social meaning); (3) the </w:t>
      </w:r>
      <w:r>
        <w:rPr>
          <w:rFonts w:ascii="MercuryTextG3-Italic" w:hAnsi="MercuryTextG3-Italic" w:cs="MercuryTextG3-Italic"/>
          <w:i/>
          <w:iCs/>
          <w:sz w:val="20"/>
          <w:szCs w:val="20"/>
        </w:rPr>
        <w:t>diversity of suburban densification regimes (it is not onl</w:t>
      </w:r>
      <w:r w:rsidR="00A07955">
        <w:rPr>
          <w:rFonts w:ascii="MercuryTextG3-Italic" w:hAnsi="MercuryTextG3-Italic" w:cs="MercuryTextG3-Italic"/>
          <w:i/>
          <w:iCs/>
          <w:sz w:val="20"/>
          <w:szCs w:val="20"/>
        </w:rPr>
        <w:t xml:space="preserve">y the landscapes of the suburbs </w:t>
      </w:r>
      <w:r>
        <w:rPr>
          <w:rFonts w:ascii="MercuryTextG3-Italic" w:hAnsi="MercuryTextG3-Italic" w:cs="MercuryTextG3-Italic"/>
          <w:i/>
          <w:iCs/>
          <w:sz w:val="20"/>
          <w:szCs w:val="20"/>
        </w:rPr>
        <w:t>that are diverse, but also the local bodies governing them––between the small residential</w:t>
      </w:r>
    </w:p>
    <w:p w:rsidR="00994429" w:rsidRDefault="00994429" w:rsidP="00994429">
      <w:pPr>
        <w:rPr>
          <w:rFonts w:ascii="MercuryTextG3-Italic" w:hAnsi="MercuryTextG3-Italic" w:cs="MercuryTextG3-Italic"/>
          <w:i/>
          <w:iCs/>
          <w:sz w:val="20"/>
          <w:szCs w:val="20"/>
        </w:rPr>
      </w:pPr>
      <w:r>
        <w:rPr>
          <w:rFonts w:ascii="MercuryTextG3-Italic" w:hAnsi="MercuryTextG3-Italic" w:cs="MercuryTextG3-Italic"/>
          <w:i/>
          <w:iCs/>
          <w:sz w:val="20"/>
          <w:szCs w:val="20"/>
        </w:rPr>
        <w:t>municipalities</w:t>
      </w:r>
    </w:p>
    <w:p w:rsidR="00994429" w:rsidRDefault="00994429" w:rsidP="00994429">
      <w:pPr>
        <w:rPr>
          <w:rFonts w:ascii="MercuryTextG3-Italic" w:hAnsi="MercuryTextG3-Italic" w:cs="MercuryTextG3-Italic"/>
          <w:iCs/>
          <w:sz w:val="20"/>
          <w:szCs w:val="20"/>
        </w:rPr>
      </w:pPr>
    </w:p>
    <w:p w:rsidR="009B53BA" w:rsidRDefault="009B53BA" w:rsidP="00994429">
      <w:pPr>
        <w:rPr>
          <w:rFonts w:ascii="MercuryTextG3-Italic" w:hAnsi="MercuryTextG3-Italic" w:cs="MercuryTextG3-Italic"/>
          <w:iCs/>
          <w:sz w:val="20"/>
          <w:szCs w:val="20"/>
        </w:rPr>
      </w:pPr>
    </w:p>
    <w:p w:rsidR="009B53BA" w:rsidRDefault="009B53BA" w:rsidP="00994429">
      <w:pPr>
        <w:rPr>
          <w:rFonts w:ascii="MercuryTextG3-Italic" w:hAnsi="MercuryTextG3-Italic" w:cs="MercuryTextG3-Italic"/>
          <w:iCs/>
          <w:sz w:val="20"/>
          <w:szCs w:val="20"/>
        </w:rPr>
      </w:pPr>
    </w:p>
    <w:p w:rsidR="009B53BA" w:rsidRDefault="009B53BA" w:rsidP="00994429">
      <w:pPr>
        <w:rPr>
          <w:rFonts w:ascii="MercuryTextG3-Italic" w:hAnsi="MercuryTextG3-Italic" w:cs="MercuryTextG3-Italic"/>
          <w:iCs/>
          <w:sz w:val="20"/>
          <w:szCs w:val="20"/>
        </w:rPr>
      </w:pPr>
    </w:p>
    <w:p w:rsidR="009B53BA" w:rsidRDefault="009B53BA" w:rsidP="00994429">
      <w:pPr>
        <w:rPr>
          <w:rFonts w:ascii="MercuryTextG3-Italic" w:hAnsi="MercuryTextG3-Italic" w:cs="MercuryTextG3-Italic"/>
          <w:iCs/>
          <w:sz w:val="20"/>
          <w:szCs w:val="20"/>
        </w:rPr>
      </w:pPr>
    </w:p>
    <w:p w:rsidR="00994429" w:rsidRDefault="00994429" w:rsidP="00994429">
      <w:pPr>
        <w:autoSpaceDE w:val="0"/>
        <w:autoSpaceDN w:val="0"/>
        <w:adjustRightInd w:val="0"/>
        <w:spacing w:after="0" w:line="240" w:lineRule="auto"/>
        <w:rPr>
          <w:rFonts w:ascii="Interstate-Light" w:hAnsi="Interstate-Light" w:cs="Interstate-Light"/>
          <w:sz w:val="16"/>
          <w:szCs w:val="16"/>
        </w:rPr>
      </w:pPr>
      <w:r>
        <w:rPr>
          <w:rFonts w:ascii="Interstate-Light" w:hAnsi="Interstate-Light" w:cs="Interstate-Light"/>
          <w:sz w:val="16"/>
          <w:szCs w:val="16"/>
        </w:rPr>
        <w:lastRenderedPageBreak/>
        <w:t xml:space="preserve">Volume 37.5 September 2013 1654–74 </w:t>
      </w:r>
      <w:r w:rsidRPr="00AE2FC8">
        <w:rPr>
          <w:rFonts w:ascii="Interstate-Light" w:hAnsi="Interstate-Light" w:cs="Interstate-Light"/>
          <w:i/>
          <w:sz w:val="16"/>
          <w:szCs w:val="16"/>
        </w:rPr>
        <w:t>International Journal of Urban and Regional Research</w:t>
      </w:r>
    </w:p>
    <w:p w:rsidR="00994429" w:rsidRDefault="00994429" w:rsidP="00994429">
      <w:pPr>
        <w:autoSpaceDE w:val="0"/>
        <w:autoSpaceDN w:val="0"/>
        <w:adjustRightInd w:val="0"/>
        <w:spacing w:after="0" w:line="240" w:lineRule="auto"/>
        <w:rPr>
          <w:rFonts w:ascii="Interstate-Regular" w:hAnsi="Interstate-Regular" w:cs="Interstate-Regular"/>
          <w:sz w:val="36"/>
          <w:szCs w:val="36"/>
        </w:rPr>
      </w:pPr>
      <w:r>
        <w:rPr>
          <w:rFonts w:ascii="Interstate-Light" w:hAnsi="Interstate-Light" w:cs="Interstate-Light"/>
          <w:sz w:val="16"/>
          <w:szCs w:val="16"/>
        </w:rPr>
        <w:t>DOI:10.1111/1468-2427.12009</w:t>
      </w:r>
    </w:p>
    <w:p w:rsidR="00994429" w:rsidRDefault="00994429" w:rsidP="00994429">
      <w:pPr>
        <w:autoSpaceDE w:val="0"/>
        <w:autoSpaceDN w:val="0"/>
        <w:adjustRightInd w:val="0"/>
        <w:spacing w:after="0" w:line="240" w:lineRule="auto"/>
        <w:rPr>
          <w:rFonts w:ascii="Interstate-Regular" w:hAnsi="Interstate-Regular" w:cs="Interstate-Regular"/>
          <w:sz w:val="36"/>
          <w:szCs w:val="36"/>
        </w:rPr>
      </w:pPr>
      <w:r>
        <w:rPr>
          <w:rFonts w:ascii="Interstate-Regular" w:hAnsi="Interstate-Regular" w:cs="Interstate-Regular"/>
          <w:sz w:val="36"/>
          <w:szCs w:val="36"/>
        </w:rPr>
        <w:t>Towards an Agenda for Post-carbon</w:t>
      </w:r>
    </w:p>
    <w:p w:rsidR="00994429" w:rsidRDefault="00994429" w:rsidP="00994429">
      <w:pPr>
        <w:autoSpaceDE w:val="0"/>
        <w:autoSpaceDN w:val="0"/>
        <w:adjustRightInd w:val="0"/>
        <w:spacing w:after="0" w:line="240" w:lineRule="auto"/>
        <w:rPr>
          <w:rFonts w:ascii="Interstate-Regular" w:hAnsi="Interstate-Regular" w:cs="Interstate-Regular"/>
          <w:sz w:val="36"/>
          <w:szCs w:val="36"/>
        </w:rPr>
      </w:pPr>
      <w:r>
        <w:rPr>
          <w:rFonts w:ascii="Interstate-Regular" w:hAnsi="Interstate-Regular" w:cs="Interstate-Regular"/>
          <w:sz w:val="36"/>
          <w:szCs w:val="36"/>
        </w:rPr>
        <w:t>Cities: Lessons from Lilac, the UK’s</w:t>
      </w:r>
    </w:p>
    <w:p w:rsidR="00994429" w:rsidRDefault="00994429" w:rsidP="00994429">
      <w:pPr>
        <w:autoSpaceDE w:val="0"/>
        <w:autoSpaceDN w:val="0"/>
        <w:adjustRightInd w:val="0"/>
        <w:spacing w:after="0" w:line="240" w:lineRule="auto"/>
        <w:rPr>
          <w:rFonts w:ascii="Interstate-Regular" w:hAnsi="Interstate-Regular" w:cs="Interstate-Regular"/>
          <w:sz w:val="36"/>
          <w:szCs w:val="36"/>
        </w:rPr>
      </w:pPr>
      <w:r>
        <w:rPr>
          <w:rFonts w:ascii="Interstate-Regular" w:hAnsi="Interstate-Regular" w:cs="Interstate-Regular"/>
          <w:sz w:val="36"/>
          <w:szCs w:val="36"/>
        </w:rPr>
        <w:t>First Ecological, Affordable</w:t>
      </w:r>
    </w:p>
    <w:p w:rsidR="00994429" w:rsidRDefault="00994429" w:rsidP="00994429">
      <w:pPr>
        <w:autoSpaceDE w:val="0"/>
        <w:autoSpaceDN w:val="0"/>
        <w:adjustRightInd w:val="0"/>
        <w:spacing w:after="0" w:line="240" w:lineRule="auto"/>
        <w:rPr>
          <w:rFonts w:ascii="Interstate-Regular" w:hAnsi="Interstate-Regular" w:cs="Interstate-Regular"/>
          <w:sz w:val="36"/>
          <w:szCs w:val="36"/>
        </w:rPr>
      </w:pPr>
      <w:r>
        <w:rPr>
          <w:rFonts w:ascii="Interstate-Regular" w:hAnsi="Interstate-Regular" w:cs="Interstate-Regular"/>
          <w:sz w:val="36"/>
          <w:szCs w:val="36"/>
        </w:rPr>
        <w:t>Cohousing Community</w:t>
      </w:r>
    </w:p>
    <w:p w:rsidR="00994429" w:rsidRDefault="00994429" w:rsidP="00994429">
      <w:pPr>
        <w:autoSpaceDE w:val="0"/>
        <w:autoSpaceDN w:val="0"/>
        <w:adjustRightInd w:val="0"/>
        <w:spacing w:after="0" w:line="240" w:lineRule="auto"/>
        <w:rPr>
          <w:rFonts w:ascii="Interstate-Regular" w:hAnsi="Interstate-Regular" w:cs="Interstate-Regular"/>
          <w:sz w:val="26"/>
          <w:szCs w:val="26"/>
        </w:rPr>
      </w:pPr>
      <w:r>
        <w:rPr>
          <w:rFonts w:ascii="Interstate-Regular" w:hAnsi="Interstate-Regular" w:cs="Interstate-Regular"/>
          <w:sz w:val="26"/>
          <w:szCs w:val="26"/>
        </w:rPr>
        <w:t>PAUL CHATTERTON</w:t>
      </w:r>
    </w:p>
    <w:p w:rsidR="00994429" w:rsidRDefault="00994429" w:rsidP="00994429">
      <w:pPr>
        <w:autoSpaceDE w:val="0"/>
        <w:autoSpaceDN w:val="0"/>
        <w:adjustRightInd w:val="0"/>
        <w:spacing w:after="0" w:line="240" w:lineRule="auto"/>
        <w:rPr>
          <w:rFonts w:ascii="Interstate-Regular" w:hAnsi="Interstate-Regular" w:cs="Interstate-Regular"/>
          <w:sz w:val="24"/>
          <w:szCs w:val="24"/>
        </w:rPr>
      </w:pPr>
      <w:r>
        <w:rPr>
          <w:rFonts w:ascii="Interstate-Regular" w:hAnsi="Interstate-Regular" w:cs="Interstate-Regular"/>
          <w:sz w:val="24"/>
          <w:szCs w:val="24"/>
        </w:rPr>
        <w:t>Abstract</w:t>
      </w:r>
    </w:p>
    <w:p w:rsidR="00994429" w:rsidRPr="00BB5EA3" w:rsidRDefault="00994429" w:rsidP="009B53BA">
      <w:pPr>
        <w:autoSpaceDE w:val="0"/>
        <w:autoSpaceDN w:val="0"/>
        <w:adjustRightInd w:val="0"/>
        <w:spacing w:after="0" w:line="240" w:lineRule="auto"/>
        <w:rPr>
          <w:rFonts w:ascii="Times-Italic" w:hAnsi="Times-Italic" w:cs="Times-Italic"/>
          <w:iCs/>
          <w:sz w:val="21"/>
          <w:szCs w:val="21"/>
        </w:rPr>
      </w:pPr>
      <w:r w:rsidRPr="00BB5EA3">
        <w:rPr>
          <w:rFonts w:ascii="Times-Italic" w:hAnsi="Times-Italic" w:cs="Times-Italic"/>
          <w:iCs/>
          <w:sz w:val="21"/>
          <w:szCs w:val="21"/>
        </w:rPr>
        <w:t xml:space="preserve">This article explores an agenda towards post-carbon </w:t>
      </w:r>
      <w:r w:rsidR="009B53BA" w:rsidRPr="00BB5EA3">
        <w:rPr>
          <w:rFonts w:ascii="Times-Italic" w:hAnsi="Times-Italic" w:cs="Times-Italic"/>
          <w:iCs/>
          <w:sz w:val="21"/>
          <w:szCs w:val="21"/>
        </w:rPr>
        <w:t xml:space="preserve">cities, extending and deepening established debates </w:t>
      </w:r>
      <w:r w:rsidRPr="00BB5EA3">
        <w:rPr>
          <w:rFonts w:ascii="Times-Italic" w:hAnsi="Times-Italic" w:cs="Times-Italic"/>
          <w:iCs/>
          <w:sz w:val="21"/>
          <w:szCs w:val="21"/>
        </w:rPr>
        <w:t>around low-carbon, sustainable c</w:t>
      </w:r>
      <w:r w:rsidR="009B53BA" w:rsidRPr="00BB5EA3">
        <w:rPr>
          <w:rFonts w:ascii="Times-Italic" w:hAnsi="Times-Italic" w:cs="Times-Italic"/>
          <w:iCs/>
          <w:sz w:val="21"/>
          <w:szCs w:val="21"/>
        </w:rPr>
        <w:t xml:space="preserve">ities in the process. The label </w:t>
      </w:r>
      <w:r w:rsidRPr="00BB5EA3">
        <w:rPr>
          <w:rFonts w:ascii="Times-Italic" w:hAnsi="Times-Italic" w:cs="Times-Italic"/>
          <w:iCs/>
          <w:sz w:val="21"/>
          <w:szCs w:val="21"/>
        </w:rPr>
        <w:t>post-carbon bui</w:t>
      </w:r>
      <w:r w:rsidR="009B53BA" w:rsidRPr="00BB5EA3">
        <w:rPr>
          <w:rFonts w:ascii="Times-Italic" w:hAnsi="Times-Italic" w:cs="Times-Italic"/>
          <w:iCs/>
          <w:sz w:val="21"/>
          <w:szCs w:val="21"/>
        </w:rPr>
        <w:t xml:space="preserve">lds upon issues beyond those of greenhouse gas (GHG) emissions, </w:t>
      </w:r>
      <w:r w:rsidRPr="00BB5EA3">
        <w:rPr>
          <w:rFonts w:ascii="Times-Italic" w:hAnsi="Times-Italic" w:cs="Times-Italic"/>
          <w:iCs/>
          <w:sz w:val="21"/>
          <w:szCs w:val="21"/>
        </w:rPr>
        <w:t>energy conservation and climate change, adding a bro</w:t>
      </w:r>
      <w:r w:rsidR="009B53BA" w:rsidRPr="00BB5EA3">
        <w:rPr>
          <w:rFonts w:ascii="Times-Italic" w:hAnsi="Times-Italic" w:cs="Times-Italic"/>
          <w:iCs/>
          <w:sz w:val="21"/>
          <w:szCs w:val="21"/>
        </w:rPr>
        <w:t xml:space="preserve">ader set of concerns, including </w:t>
      </w:r>
      <w:r w:rsidRPr="00BB5EA3">
        <w:rPr>
          <w:rFonts w:ascii="Times-Italic" w:hAnsi="Times-Italic" w:cs="Times-Italic"/>
          <w:iCs/>
          <w:sz w:val="21"/>
          <w:szCs w:val="21"/>
        </w:rPr>
        <w:t>economic justice, behaviour change, wellbeing, land own</w:t>
      </w:r>
      <w:r w:rsidR="009B53BA" w:rsidRPr="00BB5EA3">
        <w:rPr>
          <w:rFonts w:ascii="Times-Italic" w:hAnsi="Times-Italic" w:cs="Times-Italic"/>
          <w:iCs/>
          <w:sz w:val="21"/>
          <w:szCs w:val="21"/>
        </w:rPr>
        <w:t xml:space="preserve">ership, the role of capital and </w:t>
      </w:r>
      <w:r w:rsidRPr="00BB5EA3">
        <w:rPr>
          <w:rFonts w:ascii="Times-Italic" w:hAnsi="Times-Italic" w:cs="Times-Italic"/>
          <w:iCs/>
          <w:sz w:val="21"/>
          <w:szCs w:val="21"/>
        </w:rPr>
        <w:t>the state, and community self-management. The articl</w:t>
      </w:r>
      <w:r w:rsidR="009B53BA" w:rsidRPr="00BB5EA3">
        <w:rPr>
          <w:rFonts w:ascii="Times-Italic" w:hAnsi="Times-Italic" w:cs="Times-Italic"/>
          <w:iCs/>
          <w:sz w:val="21"/>
          <w:szCs w:val="21"/>
        </w:rPr>
        <w:t xml:space="preserve">e draws upon a case study of an </w:t>
      </w:r>
      <w:r w:rsidRPr="00BB5EA3">
        <w:rPr>
          <w:rFonts w:ascii="Times-Italic" w:hAnsi="Times-Italic" w:cs="Times-Italic"/>
          <w:iCs/>
          <w:sz w:val="21"/>
          <w:szCs w:val="21"/>
        </w:rPr>
        <w:t>e</w:t>
      </w:r>
      <w:r w:rsidR="009B53BA" w:rsidRPr="00BB5EA3">
        <w:rPr>
          <w:rFonts w:ascii="Times-Italic" w:hAnsi="Times-Italic" w:cs="Times-Italic"/>
          <w:iCs/>
          <w:sz w:val="21"/>
          <w:szCs w:val="21"/>
        </w:rPr>
        <w:t xml:space="preserve">mbryonic post-carbon initiative </w:t>
      </w:r>
      <w:r w:rsidRPr="00BB5EA3">
        <w:rPr>
          <w:rFonts w:ascii="Times-Italic" w:hAnsi="Times-Italic" w:cs="Times-Italic"/>
          <w:iCs/>
          <w:sz w:val="21"/>
          <w:szCs w:val="21"/>
        </w:rPr>
        <w:t>completed in early 201</w:t>
      </w:r>
      <w:r w:rsidR="009B53BA" w:rsidRPr="00BB5EA3">
        <w:rPr>
          <w:rFonts w:ascii="Times-Italic" w:hAnsi="Times-Italic" w:cs="Times-Italic"/>
          <w:iCs/>
          <w:sz w:val="21"/>
          <w:szCs w:val="21"/>
        </w:rPr>
        <w:t xml:space="preserve">3 called Lilac. Based in Leeds, </w:t>
      </w:r>
      <w:r w:rsidRPr="00BB5EA3">
        <w:rPr>
          <w:rFonts w:ascii="Times-Italic" w:hAnsi="Times-Italic" w:cs="Times-Italic"/>
          <w:iCs/>
          <w:sz w:val="21"/>
          <w:szCs w:val="21"/>
        </w:rPr>
        <w:t>Lilac stands for Low Impact Living Affordable Com</w:t>
      </w:r>
      <w:r w:rsidR="009B53BA" w:rsidRPr="00BB5EA3">
        <w:rPr>
          <w:rFonts w:ascii="Times-Italic" w:hAnsi="Times-Italic" w:cs="Times-Italic"/>
          <w:iCs/>
          <w:sz w:val="21"/>
          <w:szCs w:val="21"/>
        </w:rPr>
        <w:t xml:space="preserve">munity and is the first attempt </w:t>
      </w:r>
      <w:r w:rsidRPr="00BB5EA3">
        <w:rPr>
          <w:rFonts w:ascii="Times-Italic" w:hAnsi="Times-Italic" w:cs="Times-Italic"/>
          <w:iCs/>
          <w:sz w:val="21"/>
          <w:szCs w:val="21"/>
        </w:rPr>
        <w:t>to build an affordable, ecological cohousing proje</w:t>
      </w:r>
      <w:r w:rsidR="009B53BA" w:rsidRPr="00BB5EA3">
        <w:rPr>
          <w:rFonts w:ascii="Times-Italic" w:hAnsi="Times-Italic" w:cs="Times-Italic"/>
          <w:iCs/>
          <w:sz w:val="21"/>
          <w:szCs w:val="21"/>
        </w:rPr>
        <w:t xml:space="preserve">ct in the UK. Its three aspects </w:t>
      </w:r>
      <w:r w:rsidRPr="00BB5EA3">
        <w:rPr>
          <w:rFonts w:ascii="Times-Italic" w:hAnsi="Times-Italic" w:cs="Times-Italic"/>
          <w:iCs/>
          <w:sz w:val="21"/>
          <w:szCs w:val="21"/>
        </w:rPr>
        <w:t xml:space="preserve">each respond to significant challenges: low-impact living </w:t>
      </w:r>
      <w:r w:rsidR="009B53BA" w:rsidRPr="00BB5EA3">
        <w:rPr>
          <w:rFonts w:ascii="Times-Italic" w:hAnsi="Times-Italic" w:cs="Times-Italic"/>
          <w:iCs/>
          <w:sz w:val="21"/>
          <w:szCs w:val="21"/>
        </w:rPr>
        <w:t xml:space="preserve">and the challenge of postcarbon </w:t>
      </w:r>
      <w:r w:rsidRPr="00BB5EA3">
        <w:rPr>
          <w:rFonts w:ascii="Times-Italic" w:hAnsi="Times-Italic" w:cs="Times-Italic"/>
          <w:iCs/>
          <w:sz w:val="21"/>
          <w:szCs w:val="21"/>
        </w:rPr>
        <w:t>value change; affordability and the challenge</w:t>
      </w:r>
      <w:r w:rsidR="009B53BA" w:rsidRPr="00BB5EA3">
        <w:rPr>
          <w:rFonts w:ascii="Times-Italic" w:hAnsi="Times-Italic" w:cs="Times-Italic"/>
          <w:iCs/>
          <w:sz w:val="21"/>
          <w:szCs w:val="21"/>
        </w:rPr>
        <w:t xml:space="preserve"> of mutualism and equality; and </w:t>
      </w:r>
      <w:r w:rsidRPr="00BB5EA3">
        <w:rPr>
          <w:rFonts w:ascii="Times-Italic" w:hAnsi="Times-Italic" w:cs="Times-Italic"/>
          <w:iCs/>
          <w:sz w:val="21"/>
          <w:szCs w:val="21"/>
        </w:rPr>
        <w:t>community and the challenge of self-governance. I co</w:t>
      </w:r>
      <w:r w:rsidR="009B53BA" w:rsidRPr="00BB5EA3">
        <w:rPr>
          <w:rFonts w:ascii="Times-Italic" w:hAnsi="Times-Italic" w:cs="Times-Italic"/>
          <w:iCs/>
          <w:sz w:val="21"/>
          <w:szCs w:val="21"/>
        </w:rPr>
        <w:t xml:space="preserve">nclude the article by exploring </w:t>
      </w:r>
      <w:r w:rsidRPr="00BB5EA3">
        <w:rPr>
          <w:rFonts w:ascii="Times-Italic" w:hAnsi="Times-Italic" w:cs="Times-Italic"/>
          <w:iCs/>
          <w:sz w:val="21"/>
          <w:szCs w:val="21"/>
        </w:rPr>
        <w:t>six lessons from Lilac that tentatively outline a road</w:t>
      </w:r>
      <w:r w:rsidR="009B53BA" w:rsidRPr="00BB5EA3">
        <w:rPr>
          <w:rFonts w:ascii="Times-Italic" w:hAnsi="Times-Italic" w:cs="Times-Italic"/>
          <w:iCs/>
          <w:sz w:val="21"/>
          <w:szCs w:val="21"/>
        </w:rPr>
        <w:t xml:space="preserve">map towards post-carbon cities: </w:t>
      </w:r>
      <w:r w:rsidRPr="00BB5EA3">
        <w:rPr>
          <w:rFonts w:ascii="Times-Italic" w:hAnsi="Times-Italic" w:cs="Times-Italic"/>
          <w:iCs/>
          <w:sz w:val="21"/>
          <w:szCs w:val="21"/>
        </w:rPr>
        <w:t>the need for holistic approaches that deal with c</w:t>
      </w:r>
      <w:r w:rsidR="009B53BA" w:rsidRPr="00BB5EA3">
        <w:rPr>
          <w:rFonts w:ascii="Times-Italic" w:hAnsi="Times-Italic" w:cs="Times-Italic"/>
          <w:iCs/>
          <w:sz w:val="21"/>
          <w:szCs w:val="21"/>
        </w:rPr>
        <w:t xml:space="preserve">omplex challenges, prioritizing </w:t>
      </w:r>
      <w:r w:rsidRPr="00BB5EA3">
        <w:rPr>
          <w:rFonts w:ascii="Times-Italic" w:hAnsi="Times-Italic" w:cs="Times-Italic"/>
          <w:iCs/>
          <w:sz w:val="21"/>
          <w:szCs w:val="21"/>
        </w:rPr>
        <w:t>self-determination rather than just participation, eng</w:t>
      </w:r>
      <w:r w:rsidR="009B53BA" w:rsidRPr="00BB5EA3">
        <w:rPr>
          <w:rFonts w:ascii="Times-Italic" w:hAnsi="Times-Italic" w:cs="Times-Italic"/>
          <w:iCs/>
          <w:sz w:val="21"/>
          <w:szCs w:val="21"/>
        </w:rPr>
        <w:t xml:space="preserve">aging with productive political tensions, adopting a </w:t>
      </w:r>
      <w:r w:rsidRPr="00BB5EA3">
        <w:rPr>
          <w:rFonts w:ascii="Times-Italic" w:hAnsi="Times-Italic" w:cs="Times-Italic"/>
          <w:iCs/>
          <w:sz w:val="21"/>
          <w:szCs w:val="21"/>
        </w:rPr>
        <w:t>process rather than an outc</w:t>
      </w:r>
      <w:r w:rsidR="009B53BA" w:rsidRPr="00BB5EA3">
        <w:rPr>
          <w:rFonts w:ascii="Times-Italic" w:hAnsi="Times-Italic" w:cs="Times-Italic"/>
          <w:iCs/>
          <w:sz w:val="21"/>
          <w:szCs w:val="21"/>
        </w:rPr>
        <w:t xml:space="preserve">omes-based approach, developing </w:t>
      </w:r>
      <w:r w:rsidRPr="00BB5EA3">
        <w:rPr>
          <w:rFonts w:ascii="Times-Italic" w:hAnsi="Times-Italic" w:cs="Times-Italic"/>
          <w:iCs/>
          <w:sz w:val="21"/>
          <w:szCs w:val="21"/>
        </w:rPr>
        <w:t>strategy for replicability, and finally, embracing a non-parochial approach to localities.</w:t>
      </w:r>
    </w:p>
    <w:p w:rsidR="009B53BA" w:rsidRDefault="009B53BA" w:rsidP="009B53BA">
      <w:pPr>
        <w:autoSpaceDE w:val="0"/>
        <w:autoSpaceDN w:val="0"/>
        <w:adjustRightInd w:val="0"/>
        <w:spacing w:after="0" w:line="240" w:lineRule="auto"/>
        <w:rPr>
          <w:rFonts w:ascii="Times-Italic" w:hAnsi="Times-Italic" w:cs="Times-Italic"/>
          <w:i/>
          <w:iCs/>
          <w:sz w:val="21"/>
          <w:szCs w:val="21"/>
        </w:rPr>
      </w:pPr>
    </w:p>
    <w:p w:rsidR="009B53BA" w:rsidRDefault="009B53BA" w:rsidP="009B53BA">
      <w:pPr>
        <w:autoSpaceDE w:val="0"/>
        <w:autoSpaceDN w:val="0"/>
        <w:adjustRightInd w:val="0"/>
        <w:spacing w:after="0" w:line="240" w:lineRule="auto"/>
        <w:rPr>
          <w:rFonts w:ascii="Times-Italic" w:hAnsi="Times-Italic" w:cs="Times-Italic"/>
          <w:i/>
          <w:iCs/>
          <w:sz w:val="21"/>
          <w:szCs w:val="21"/>
        </w:rPr>
      </w:pPr>
    </w:p>
    <w:p w:rsidR="009B53BA" w:rsidRDefault="009B53BA" w:rsidP="009B53BA">
      <w:pPr>
        <w:autoSpaceDE w:val="0"/>
        <w:autoSpaceDN w:val="0"/>
        <w:adjustRightInd w:val="0"/>
        <w:spacing w:after="0" w:line="240" w:lineRule="auto"/>
        <w:rPr>
          <w:rFonts w:ascii="Times-Italic" w:hAnsi="Times-Italic" w:cs="Times-Italic"/>
          <w:i/>
          <w:iCs/>
          <w:sz w:val="21"/>
          <w:szCs w:val="21"/>
        </w:rPr>
      </w:pPr>
    </w:p>
    <w:p w:rsidR="009B53BA" w:rsidRDefault="009B53BA" w:rsidP="009B53BA">
      <w:pPr>
        <w:autoSpaceDE w:val="0"/>
        <w:autoSpaceDN w:val="0"/>
        <w:adjustRightInd w:val="0"/>
        <w:spacing w:after="0" w:line="240" w:lineRule="auto"/>
        <w:rPr>
          <w:rFonts w:ascii="Times-Italic" w:hAnsi="Times-Italic" w:cs="Times-Italic"/>
          <w:i/>
          <w:iCs/>
          <w:sz w:val="21"/>
          <w:szCs w:val="21"/>
        </w:rPr>
      </w:pPr>
    </w:p>
    <w:p w:rsidR="009B53BA" w:rsidRDefault="009B53BA" w:rsidP="009B53BA">
      <w:pPr>
        <w:autoSpaceDE w:val="0"/>
        <w:autoSpaceDN w:val="0"/>
        <w:adjustRightInd w:val="0"/>
        <w:spacing w:after="0" w:line="240" w:lineRule="auto"/>
        <w:rPr>
          <w:rFonts w:ascii="Interstate-Light" w:hAnsi="Interstate-Light" w:cs="Interstate-Light"/>
          <w:sz w:val="16"/>
          <w:szCs w:val="16"/>
        </w:rPr>
      </w:pPr>
      <w:r>
        <w:rPr>
          <w:rFonts w:ascii="Interstate-Light" w:hAnsi="Interstate-Light" w:cs="Interstate-Light"/>
          <w:sz w:val="16"/>
          <w:szCs w:val="16"/>
        </w:rPr>
        <w:t xml:space="preserve">Volume 36.6 November 2012 1242–67 </w:t>
      </w:r>
      <w:r w:rsidRPr="00AE2FC8">
        <w:rPr>
          <w:rFonts w:ascii="Interstate-Light" w:hAnsi="Interstate-Light" w:cs="Interstate-Light"/>
          <w:i/>
          <w:sz w:val="16"/>
          <w:szCs w:val="16"/>
        </w:rPr>
        <w:t>International Journal of Urban and Regional Research</w:t>
      </w:r>
    </w:p>
    <w:p w:rsidR="009B53BA" w:rsidRDefault="009B53BA" w:rsidP="009B53BA">
      <w:pPr>
        <w:autoSpaceDE w:val="0"/>
        <w:autoSpaceDN w:val="0"/>
        <w:adjustRightInd w:val="0"/>
        <w:spacing w:after="0" w:line="240" w:lineRule="auto"/>
        <w:rPr>
          <w:rFonts w:ascii="Interstate-Regular" w:hAnsi="Interstate-Regular" w:cs="Interstate-Regular"/>
          <w:color w:val="000000"/>
          <w:sz w:val="36"/>
          <w:szCs w:val="36"/>
        </w:rPr>
      </w:pPr>
      <w:r>
        <w:rPr>
          <w:rFonts w:ascii="Interstate-Light" w:hAnsi="Interstate-Light" w:cs="Interstate-Light"/>
          <w:sz w:val="16"/>
          <w:szCs w:val="16"/>
        </w:rPr>
        <w:t>DOI:10.1111/j.1468-2427.2011.01083.x</w:t>
      </w:r>
    </w:p>
    <w:p w:rsidR="009B53BA" w:rsidRDefault="009B53BA" w:rsidP="009B53BA">
      <w:pPr>
        <w:autoSpaceDE w:val="0"/>
        <w:autoSpaceDN w:val="0"/>
        <w:adjustRightInd w:val="0"/>
        <w:spacing w:after="0" w:line="240" w:lineRule="auto"/>
        <w:rPr>
          <w:rFonts w:ascii="Interstate-Regular" w:hAnsi="Interstate-Regular" w:cs="Interstate-Regular"/>
          <w:color w:val="000000"/>
          <w:sz w:val="36"/>
          <w:szCs w:val="36"/>
        </w:rPr>
      </w:pPr>
      <w:r>
        <w:rPr>
          <w:rFonts w:ascii="Interstate-Regular" w:hAnsi="Interstate-Regular" w:cs="Interstate-Regular"/>
          <w:color w:val="000000"/>
          <w:sz w:val="36"/>
          <w:szCs w:val="36"/>
        </w:rPr>
        <w:t>A Tale of Two Cities: Climate Change</w:t>
      </w:r>
    </w:p>
    <w:p w:rsidR="009B53BA" w:rsidRDefault="009B53BA" w:rsidP="009B53BA">
      <w:pPr>
        <w:autoSpaceDE w:val="0"/>
        <w:autoSpaceDN w:val="0"/>
        <w:adjustRightInd w:val="0"/>
        <w:spacing w:after="0" w:line="240" w:lineRule="auto"/>
        <w:rPr>
          <w:rFonts w:ascii="Interstate-Regular" w:hAnsi="Interstate-Regular" w:cs="Interstate-Regular"/>
          <w:color w:val="000000"/>
          <w:sz w:val="36"/>
          <w:szCs w:val="36"/>
        </w:rPr>
      </w:pPr>
      <w:r>
        <w:rPr>
          <w:rFonts w:ascii="Interstate-Regular" w:hAnsi="Interstate-Regular" w:cs="Interstate-Regular"/>
          <w:color w:val="000000"/>
          <w:sz w:val="36"/>
          <w:szCs w:val="36"/>
        </w:rPr>
        <w:t>Policies in Vancouver and Melbourne —</w:t>
      </w:r>
    </w:p>
    <w:p w:rsidR="009B53BA" w:rsidRDefault="009B53BA" w:rsidP="009B53BA">
      <w:pPr>
        <w:autoSpaceDE w:val="0"/>
        <w:autoSpaceDN w:val="0"/>
        <w:adjustRightInd w:val="0"/>
        <w:spacing w:after="0" w:line="240" w:lineRule="auto"/>
        <w:rPr>
          <w:rFonts w:ascii="Interstate-Regular" w:hAnsi="Interstate-Regular" w:cs="Interstate-Regular"/>
          <w:color w:val="000000"/>
          <w:sz w:val="36"/>
          <w:szCs w:val="36"/>
        </w:rPr>
      </w:pPr>
      <w:r>
        <w:rPr>
          <w:rFonts w:ascii="Interstate-Regular" w:hAnsi="Interstate-Regular" w:cs="Interstate-Regular"/>
          <w:color w:val="000000"/>
          <w:sz w:val="36"/>
          <w:szCs w:val="36"/>
        </w:rPr>
        <w:t>Barometers of Cooperative Federalism?</w:t>
      </w:r>
    </w:p>
    <w:p w:rsidR="009B53BA" w:rsidRDefault="009B53BA" w:rsidP="009B53BA">
      <w:pPr>
        <w:autoSpaceDE w:val="0"/>
        <w:autoSpaceDN w:val="0"/>
        <w:adjustRightInd w:val="0"/>
        <w:spacing w:after="0" w:line="240" w:lineRule="auto"/>
        <w:rPr>
          <w:rFonts w:ascii="Interstate-Regular" w:hAnsi="Interstate-Regular" w:cs="Interstate-Regular"/>
          <w:color w:val="000000"/>
          <w:sz w:val="26"/>
          <w:szCs w:val="26"/>
        </w:rPr>
      </w:pPr>
      <w:r>
        <w:rPr>
          <w:rFonts w:ascii="Interstate-Regular" w:hAnsi="Interstate-Regular" w:cs="Interstate-Regular"/>
          <w:color w:val="000000"/>
          <w:sz w:val="26"/>
          <w:szCs w:val="26"/>
        </w:rPr>
        <w:t>STEPHEN JONES</w:t>
      </w:r>
    </w:p>
    <w:p w:rsidR="009B53BA" w:rsidRDefault="009B53BA" w:rsidP="009B53BA">
      <w:pPr>
        <w:autoSpaceDE w:val="0"/>
        <w:autoSpaceDN w:val="0"/>
        <w:adjustRightInd w:val="0"/>
        <w:spacing w:after="0" w:line="240" w:lineRule="auto"/>
        <w:rPr>
          <w:rFonts w:ascii="Times-Roman" w:hAnsi="Times-Roman" w:cs="Times-Roman"/>
          <w:color w:val="FFFFFF"/>
          <w:sz w:val="2"/>
          <w:szCs w:val="2"/>
        </w:rPr>
      </w:pPr>
      <w:r>
        <w:rPr>
          <w:rFonts w:ascii="Interstate-Regular" w:hAnsi="Interstate-Regular" w:cs="Interstate-Regular"/>
          <w:color w:val="000000"/>
          <w:sz w:val="24"/>
          <w:szCs w:val="24"/>
        </w:rPr>
        <w:t>Abstract</w:t>
      </w:r>
      <w:r>
        <w:rPr>
          <w:rFonts w:ascii="Times-Roman" w:hAnsi="Times-Roman" w:cs="Times-Roman"/>
          <w:color w:val="FFFFFF"/>
          <w:sz w:val="2"/>
          <w:szCs w:val="2"/>
        </w:rPr>
        <w:t>ijur_1083 1242..1267</w:t>
      </w:r>
    </w:p>
    <w:p w:rsidR="009B53BA" w:rsidRPr="00BB5EA3" w:rsidRDefault="009B53BA" w:rsidP="009B53BA">
      <w:pPr>
        <w:autoSpaceDE w:val="0"/>
        <w:autoSpaceDN w:val="0"/>
        <w:adjustRightInd w:val="0"/>
        <w:spacing w:after="0" w:line="240" w:lineRule="auto"/>
        <w:rPr>
          <w:rFonts w:ascii="Times-Italic" w:hAnsi="Times-Italic" w:cs="Times-Italic"/>
          <w:iCs/>
          <w:color w:val="000000"/>
          <w:sz w:val="21"/>
          <w:szCs w:val="21"/>
        </w:rPr>
      </w:pPr>
      <w:r w:rsidRPr="00BB5EA3">
        <w:rPr>
          <w:rFonts w:ascii="Times-Italic" w:hAnsi="Times-Italic" w:cs="Times-Italic"/>
          <w:iCs/>
          <w:color w:val="000000"/>
          <w:sz w:val="21"/>
          <w:szCs w:val="21"/>
        </w:rPr>
        <w:t>The failure of the United Nations negotiations on climate change in Copenhagen presents governments with an opportunity to consider new approaches to implementing climate change policy. Developed nations like Canada and Australia continue to fall short of their commitments to Kyoto targets and predict that their greenhouse gas emissions will continue to rise. The planning and development of metropolitan areas continues to promote high levels of consumption and increased dependence on fossil fuel-based energy. City governments in Vancouver and Melbourne have strong commitments to both mitigation and adaptation policy action against the impact of global warming. Both argue they are constrained in their efforts by federal institutional arrangements and require improved cooperation from other levels of government. This article uses the conceptual framework developed by the OECD to support greater levels of cooperation between governments in multilevel systems when implementing climate change policies. The article examines the contextual factors inherent in the institutional arrangements and uses the experiences of Vancouver and Melbourne to explore the factors that encourage or discourage cooperation in climate change policy.</w:t>
      </w:r>
    </w:p>
    <w:p w:rsidR="00BB5EA3" w:rsidRDefault="00BB5EA3" w:rsidP="009B53BA">
      <w:pPr>
        <w:autoSpaceDE w:val="0"/>
        <w:autoSpaceDN w:val="0"/>
        <w:adjustRightInd w:val="0"/>
        <w:spacing w:after="0" w:line="240" w:lineRule="auto"/>
        <w:rPr>
          <w:rFonts w:ascii="Times-Italic" w:hAnsi="Times-Italic" w:cs="Times-Italic"/>
          <w:i/>
          <w:iCs/>
          <w:color w:val="000000"/>
          <w:sz w:val="21"/>
          <w:szCs w:val="21"/>
        </w:rPr>
      </w:pPr>
    </w:p>
    <w:p w:rsidR="00BB5EA3" w:rsidRDefault="00BB5EA3" w:rsidP="009B53BA">
      <w:pPr>
        <w:autoSpaceDE w:val="0"/>
        <w:autoSpaceDN w:val="0"/>
        <w:adjustRightInd w:val="0"/>
        <w:spacing w:after="0" w:line="240" w:lineRule="auto"/>
        <w:rPr>
          <w:rFonts w:ascii="Times-Italic" w:hAnsi="Times-Italic" w:cs="Times-Italic"/>
          <w:i/>
          <w:iCs/>
          <w:color w:val="000000"/>
          <w:sz w:val="21"/>
          <w:szCs w:val="21"/>
        </w:rPr>
      </w:pPr>
    </w:p>
    <w:p w:rsidR="00BB5EA3" w:rsidRDefault="00BB5EA3" w:rsidP="009B53BA">
      <w:pPr>
        <w:autoSpaceDE w:val="0"/>
        <w:autoSpaceDN w:val="0"/>
        <w:adjustRightInd w:val="0"/>
        <w:spacing w:after="0" w:line="240" w:lineRule="auto"/>
        <w:rPr>
          <w:rFonts w:ascii="Times-Italic" w:hAnsi="Times-Italic" w:cs="Times-Italic"/>
          <w:i/>
          <w:iCs/>
          <w:color w:val="000000"/>
          <w:sz w:val="21"/>
          <w:szCs w:val="21"/>
        </w:rPr>
      </w:pPr>
    </w:p>
    <w:p w:rsidR="00BB5EA3" w:rsidRPr="00BB5EA3" w:rsidRDefault="00BB5EA3" w:rsidP="00BB5EA3">
      <w:pPr>
        <w:autoSpaceDE w:val="0"/>
        <w:autoSpaceDN w:val="0"/>
        <w:adjustRightInd w:val="0"/>
        <w:spacing w:after="0" w:line="240" w:lineRule="auto"/>
        <w:rPr>
          <w:rFonts w:ascii="Times-Italic" w:hAnsi="Times-Italic" w:cs="Times-Italic"/>
          <w:iCs/>
          <w:color w:val="000000"/>
          <w:sz w:val="21"/>
          <w:szCs w:val="21"/>
        </w:rPr>
      </w:pPr>
      <w:r w:rsidRPr="00BB5EA3">
        <w:rPr>
          <w:rFonts w:ascii="Times-Italic" w:hAnsi="Times-Italic" w:cs="Times-Italic"/>
          <w:iCs/>
          <w:color w:val="000000"/>
          <w:sz w:val="21"/>
          <w:szCs w:val="21"/>
        </w:rPr>
        <w:lastRenderedPageBreak/>
        <w:t>International Journal of Urban Sciences</w:t>
      </w:r>
    </w:p>
    <w:p w:rsidR="00BB5EA3" w:rsidRDefault="00BB5EA3" w:rsidP="00BB5EA3">
      <w:pPr>
        <w:autoSpaceDE w:val="0"/>
        <w:autoSpaceDN w:val="0"/>
        <w:adjustRightInd w:val="0"/>
        <w:spacing w:after="0" w:line="240" w:lineRule="auto"/>
        <w:rPr>
          <w:rFonts w:ascii="Times-Italic" w:hAnsi="Times-Italic" w:cs="Times-Italic"/>
          <w:iCs/>
          <w:color w:val="000000"/>
          <w:sz w:val="21"/>
          <w:szCs w:val="21"/>
        </w:rPr>
      </w:pPr>
      <w:r w:rsidRPr="00BB5EA3">
        <w:rPr>
          <w:rFonts w:ascii="Times-Italic" w:hAnsi="Times-Italic" w:cs="Times-Italic"/>
          <w:iCs/>
          <w:color w:val="000000"/>
          <w:sz w:val="21"/>
          <w:szCs w:val="21"/>
        </w:rPr>
        <w:t>Vol. 15, No. 3, December 2011, 187</w:t>
      </w:r>
      <w:r w:rsidRPr="00BB5EA3">
        <w:rPr>
          <w:rFonts w:ascii="Times-Italic" w:hAnsi="Times-Italic" w:cs="Times-Italic" w:hint="eastAsia"/>
          <w:iCs/>
          <w:color w:val="000000"/>
          <w:sz w:val="21"/>
          <w:szCs w:val="21"/>
        </w:rPr>
        <w:t>–</w:t>
      </w:r>
      <w:r w:rsidRPr="00BB5EA3">
        <w:rPr>
          <w:rFonts w:ascii="Times-Italic" w:hAnsi="Times-Italic" w:cs="Times-Italic"/>
          <w:iCs/>
          <w:color w:val="000000"/>
          <w:sz w:val="21"/>
          <w:szCs w:val="21"/>
        </w:rPr>
        <w:t>199</w:t>
      </w:r>
    </w:p>
    <w:p w:rsidR="00BB5EA3" w:rsidRDefault="00BB5EA3" w:rsidP="00BB5EA3">
      <w:pPr>
        <w:autoSpaceDE w:val="0"/>
        <w:autoSpaceDN w:val="0"/>
        <w:adjustRightInd w:val="0"/>
        <w:spacing w:after="0" w:line="240" w:lineRule="auto"/>
        <w:rPr>
          <w:rFonts w:ascii="Times-Italic" w:hAnsi="Times-Italic" w:cs="Times-Italic"/>
          <w:iCs/>
          <w:color w:val="000000"/>
          <w:sz w:val="21"/>
          <w:szCs w:val="21"/>
        </w:rPr>
      </w:pPr>
    </w:p>
    <w:p w:rsidR="00BB5EA3" w:rsidRPr="00BB5EA3" w:rsidRDefault="00BB5EA3" w:rsidP="00BB5EA3">
      <w:pPr>
        <w:autoSpaceDE w:val="0"/>
        <w:autoSpaceDN w:val="0"/>
        <w:adjustRightInd w:val="0"/>
        <w:spacing w:after="0" w:line="240" w:lineRule="auto"/>
        <w:rPr>
          <w:rFonts w:ascii="Times-Italic" w:hAnsi="Times-Italic" w:cs="Times-Italic"/>
          <w:b/>
          <w:iCs/>
          <w:color w:val="000000"/>
          <w:sz w:val="24"/>
          <w:szCs w:val="24"/>
        </w:rPr>
      </w:pPr>
      <w:r w:rsidRPr="00BB5EA3">
        <w:rPr>
          <w:rFonts w:ascii="Times-Italic" w:hAnsi="Times-Italic" w:cs="Times-Italic"/>
          <w:b/>
          <w:iCs/>
          <w:color w:val="000000"/>
          <w:sz w:val="24"/>
          <w:szCs w:val="24"/>
        </w:rPr>
        <w:t>Evaluating integrated land use and transport strategies in the urban</w:t>
      </w:r>
      <w:r w:rsidRPr="00BB5EA3">
        <w:rPr>
          <w:rFonts w:ascii="Times-Italic" w:hAnsi="Times-Italic" w:cs="Times-Italic" w:hint="eastAsia"/>
          <w:b/>
          <w:iCs/>
          <w:color w:val="000000"/>
          <w:sz w:val="24"/>
          <w:szCs w:val="24"/>
        </w:rPr>
        <w:t xml:space="preserve"> </w:t>
      </w:r>
      <w:r w:rsidRPr="00BB5EA3">
        <w:rPr>
          <w:rFonts w:ascii="Times-Italic" w:hAnsi="Times-Italic" w:cs="Times-Italic"/>
          <w:b/>
          <w:iCs/>
          <w:color w:val="000000"/>
          <w:sz w:val="24"/>
          <w:szCs w:val="24"/>
        </w:rPr>
        <w:t>regeneration projects toward sustainable urban structure: case studies</w:t>
      </w:r>
      <w:r w:rsidRPr="00BB5EA3">
        <w:rPr>
          <w:rFonts w:ascii="Times-Italic" w:hAnsi="Times-Italic" w:cs="Times-Italic" w:hint="eastAsia"/>
          <w:b/>
          <w:iCs/>
          <w:color w:val="000000"/>
          <w:sz w:val="24"/>
          <w:szCs w:val="24"/>
        </w:rPr>
        <w:t xml:space="preserve"> </w:t>
      </w:r>
      <w:r w:rsidRPr="00BB5EA3">
        <w:rPr>
          <w:rFonts w:ascii="Times-Italic" w:hAnsi="Times-Italic" w:cs="Times-Italic"/>
          <w:b/>
          <w:iCs/>
          <w:color w:val="000000"/>
          <w:sz w:val="24"/>
          <w:szCs w:val="24"/>
        </w:rPr>
        <w:t>of Hafen City in Germany and Shinagawa Station in Tokyo</w:t>
      </w:r>
    </w:p>
    <w:p w:rsidR="00BB5EA3" w:rsidRDefault="00BB5EA3" w:rsidP="00BB5EA3">
      <w:pPr>
        <w:autoSpaceDE w:val="0"/>
        <w:autoSpaceDN w:val="0"/>
        <w:adjustRightInd w:val="0"/>
        <w:spacing w:after="0" w:line="240" w:lineRule="auto"/>
        <w:rPr>
          <w:rFonts w:ascii="Times-Italic" w:hAnsi="Times-Italic" w:cs="Times-Italic"/>
          <w:iCs/>
          <w:color w:val="000000"/>
          <w:sz w:val="21"/>
          <w:szCs w:val="21"/>
        </w:rPr>
      </w:pPr>
    </w:p>
    <w:p w:rsidR="00BB5EA3" w:rsidRDefault="00BB5EA3" w:rsidP="00BB5EA3">
      <w:pPr>
        <w:autoSpaceDE w:val="0"/>
        <w:autoSpaceDN w:val="0"/>
        <w:adjustRightInd w:val="0"/>
        <w:spacing w:after="0" w:line="240" w:lineRule="auto"/>
        <w:rPr>
          <w:rFonts w:ascii="Times-Italic" w:hAnsi="Times-Italic" w:cs="Times-Italic"/>
          <w:iCs/>
          <w:color w:val="000000"/>
          <w:sz w:val="21"/>
          <w:szCs w:val="21"/>
        </w:rPr>
      </w:pPr>
      <w:r w:rsidRPr="00BB5EA3">
        <w:rPr>
          <w:rFonts w:ascii="Times-Italic" w:hAnsi="Times-Italic" w:cs="Times-Italic"/>
          <w:iCs/>
          <w:color w:val="000000"/>
          <w:sz w:val="21"/>
          <w:szCs w:val="21"/>
        </w:rPr>
        <w:t>Yoon Jeung Janga*, Joo Yeon Gob and Seungil Leea</w:t>
      </w:r>
    </w:p>
    <w:p w:rsidR="00BB5EA3" w:rsidRDefault="00BB5EA3" w:rsidP="00BB5EA3">
      <w:pPr>
        <w:autoSpaceDE w:val="0"/>
        <w:autoSpaceDN w:val="0"/>
        <w:adjustRightInd w:val="0"/>
        <w:spacing w:after="0" w:line="240" w:lineRule="auto"/>
        <w:rPr>
          <w:rFonts w:ascii="Times-Italic" w:hAnsi="Times-Italic" w:cs="Times-Italic"/>
          <w:iCs/>
          <w:color w:val="000000"/>
          <w:sz w:val="21"/>
          <w:szCs w:val="21"/>
        </w:rPr>
      </w:pPr>
    </w:p>
    <w:p w:rsidR="00BB5EA3" w:rsidRPr="00BB5EA3" w:rsidRDefault="00BB5EA3" w:rsidP="00BB5EA3">
      <w:pPr>
        <w:autoSpaceDE w:val="0"/>
        <w:autoSpaceDN w:val="0"/>
        <w:adjustRightInd w:val="0"/>
        <w:spacing w:after="0" w:line="240" w:lineRule="auto"/>
        <w:rPr>
          <w:rFonts w:ascii="Times-Italic" w:hAnsi="Times-Italic" w:cs="Times-Italic"/>
          <w:iCs/>
          <w:color w:val="000000"/>
          <w:sz w:val="21"/>
          <w:szCs w:val="21"/>
        </w:rPr>
      </w:pPr>
      <w:r w:rsidRPr="00BB5EA3">
        <w:rPr>
          <w:rFonts w:ascii="Times-Italic" w:hAnsi="Times-Italic" w:cs="Times-Italic"/>
          <w:iCs/>
          <w:color w:val="000000"/>
          <w:sz w:val="21"/>
          <w:szCs w:val="21"/>
        </w:rPr>
        <w:t>Due to the emergence of urban regeneration, there have been many case studies on</w:t>
      </w:r>
      <w:r>
        <w:rPr>
          <w:rFonts w:ascii="Times-Italic" w:hAnsi="Times-Italic" w:cs="Times-Italic" w:hint="eastAsia"/>
          <w:iCs/>
          <w:color w:val="000000"/>
          <w:sz w:val="21"/>
          <w:szCs w:val="21"/>
        </w:rPr>
        <w:t xml:space="preserve"> </w:t>
      </w:r>
      <w:r w:rsidRPr="00BB5EA3">
        <w:rPr>
          <w:rFonts w:ascii="Times-Italic" w:hAnsi="Times-Italic" w:cs="Times-Italic"/>
          <w:iCs/>
          <w:color w:val="000000"/>
          <w:sz w:val="21"/>
          <w:szCs w:val="21"/>
        </w:rPr>
        <w:t>urban regeneration projects. However, there has been little research on a successful</w:t>
      </w:r>
      <w:r>
        <w:rPr>
          <w:rFonts w:ascii="Times-Italic" w:hAnsi="Times-Italic" w:cs="Times-Italic" w:hint="eastAsia"/>
          <w:iCs/>
          <w:color w:val="000000"/>
          <w:sz w:val="21"/>
          <w:szCs w:val="21"/>
        </w:rPr>
        <w:t xml:space="preserve"> </w:t>
      </w:r>
      <w:r w:rsidRPr="00BB5EA3">
        <w:rPr>
          <w:rFonts w:ascii="Times-Italic" w:hAnsi="Times-Italic" w:cs="Times-Italic"/>
          <w:iCs/>
          <w:color w:val="000000"/>
          <w:sz w:val="21"/>
          <w:szCs w:val="21"/>
        </w:rPr>
        <w:t>project that may be helpful for the execution of a sustainable urban structure</w:t>
      </w:r>
      <w:r>
        <w:rPr>
          <w:rFonts w:ascii="Times-Italic" w:hAnsi="Times-Italic" w:cs="Times-Italic" w:hint="eastAsia"/>
          <w:iCs/>
          <w:color w:val="000000"/>
          <w:sz w:val="21"/>
          <w:szCs w:val="21"/>
        </w:rPr>
        <w:t xml:space="preserve"> </w:t>
      </w:r>
      <w:r w:rsidRPr="00BB5EA3">
        <w:rPr>
          <w:rFonts w:ascii="Times-Italic" w:hAnsi="Times-Italic" w:cs="Times-Italic"/>
          <w:iCs/>
          <w:color w:val="000000"/>
          <w:sz w:val="21"/>
          <w:szCs w:val="21"/>
        </w:rPr>
        <w:t>policy. This study analyses the strategies and characteristics of two successful</w:t>
      </w:r>
      <w:r>
        <w:rPr>
          <w:rFonts w:ascii="Times-Italic" w:hAnsi="Times-Italic" w:cs="Times-Italic" w:hint="eastAsia"/>
          <w:iCs/>
          <w:color w:val="000000"/>
          <w:sz w:val="21"/>
          <w:szCs w:val="21"/>
        </w:rPr>
        <w:t xml:space="preserve"> </w:t>
      </w:r>
      <w:r w:rsidRPr="00BB5EA3">
        <w:rPr>
          <w:rFonts w:ascii="Times-Italic" w:hAnsi="Times-Italic" w:cs="Times-Italic"/>
          <w:iCs/>
          <w:color w:val="000000"/>
          <w:sz w:val="21"/>
          <w:szCs w:val="21"/>
        </w:rPr>
        <w:t>representative urban regeneration projects that aimed toward a sustainable urban</w:t>
      </w:r>
      <w:r>
        <w:rPr>
          <w:rFonts w:ascii="Times-Italic" w:hAnsi="Times-Italic" w:cs="Times-Italic" w:hint="eastAsia"/>
          <w:iCs/>
          <w:color w:val="000000"/>
          <w:sz w:val="21"/>
          <w:szCs w:val="21"/>
        </w:rPr>
        <w:t xml:space="preserve"> </w:t>
      </w:r>
      <w:r w:rsidRPr="00BB5EA3">
        <w:rPr>
          <w:rFonts w:ascii="Times-Italic" w:hAnsi="Times-Italic" w:cs="Times-Italic"/>
          <w:iCs/>
          <w:color w:val="000000"/>
          <w:sz w:val="21"/>
          <w:szCs w:val="21"/>
        </w:rPr>
        <w:t>structure, from the viewpoint of land-use transport interaction. For this purpose,</w:t>
      </w:r>
      <w:r>
        <w:rPr>
          <w:rFonts w:ascii="Times-Italic" w:hAnsi="Times-Italic" w:cs="Times-Italic" w:hint="eastAsia"/>
          <w:iCs/>
          <w:color w:val="000000"/>
          <w:sz w:val="21"/>
          <w:szCs w:val="21"/>
        </w:rPr>
        <w:t xml:space="preserve"> </w:t>
      </w:r>
      <w:r w:rsidRPr="00BB5EA3">
        <w:rPr>
          <w:rFonts w:ascii="Times-Italic" w:hAnsi="Times-Italic" w:cs="Times-Italic"/>
          <w:iCs/>
          <w:color w:val="000000"/>
          <w:sz w:val="21"/>
          <w:szCs w:val="21"/>
        </w:rPr>
        <w:t>we conducted a literature review on the theory of sustainable urban structures and</w:t>
      </w:r>
      <w:r>
        <w:rPr>
          <w:rFonts w:ascii="Times-Italic" w:hAnsi="Times-Italic" w:cs="Times-Italic" w:hint="eastAsia"/>
          <w:iCs/>
          <w:color w:val="000000"/>
          <w:sz w:val="21"/>
          <w:szCs w:val="21"/>
        </w:rPr>
        <w:t xml:space="preserve"> </w:t>
      </w:r>
      <w:r w:rsidRPr="00BB5EA3">
        <w:rPr>
          <w:rFonts w:ascii="Times-Italic" w:hAnsi="Times-Italic" w:cs="Times-Italic"/>
          <w:iCs/>
          <w:color w:val="000000"/>
          <w:sz w:val="21"/>
          <w:szCs w:val="21"/>
        </w:rPr>
        <w:t>land-use transpo</w:t>
      </w:r>
      <w:bookmarkStart w:id="0" w:name="_GoBack"/>
      <w:bookmarkEnd w:id="0"/>
      <w:r w:rsidRPr="00BB5EA3">
        <w:rPr>
          <w:rFonts w:ascii="Times-Italic" w:hAnsi="Times-Italic" w:cs="Times-Italic"/>
          <w:iCs/>
          <w:color w:val="000000"/>
          <w:sz w:val="21"/>
          <w:szCs w:val="21"/>
        </w:rPr>
        <w:t>rt interaction and analysed the major strategies and planning</w:t>
      </w:r>
      <w:r>
        <w:rPr>
          <w:rFonts w:ascii="Times-Italic" w:hAnsi="Times-Italic" w:cs="Times-Italic" w:hint="eastAsia"/>
          <w:iCs/>
          <w:color w:val="000000"/>
          <w:sz w:val="21"/>
          <w:szCs w:val="21"/>
        </w:rPr>
        <w:t xml:space="preserve"> </w:t>
      </w:r>
      <w:r w:rsidRPr="00BB5EA3">
        <w:rPr>
          <w:rFonts w:ascii="Times-Italic" w:hAnsi="Times-Italic" w:cs="Times-Italic"/>
          <w:iCs/>
          <w:color w:val="000000"/>
          <w:sz w:val="21"/>
          <w:szCs w:val="21"/>
        </w:rPr>
        <w:t>characteristics of HafenCity and Shinagawa Station area. In this study, we found</w:t>
      </w:r>
      <w:r>
        <w:rPr>
          <w:rFonts w:ascii="Times-Italic" w:hAnsi="Times-Italic" w:cs="Times-Italic" w:hint="eastAsia"/>
          <w:iCs/>
          <w:color w:val="000000"/>
          <w:sz w:val="21"/>
          <w:szCs w:val="21"/>
        </w:rPr>
        <w:t xml:space="preserve"> </w:t>
      </w:r>
      <w:r w:rsidRPr="00BB5EA3">
        <w:rPr>
          <w:rFonts w:ascii="Times-Italic" w:hAnsi="Times-Italic" w:cs="Times-Italic"/>
          <w:iCs/>
          <w:color w:val="000000"/>
          <w:sz w:val="21"/>
          <w:szCs w:val="21"/>
        </w:rPr>
        <w:t>that two cases considered an integrated approach of land use and transport to</w:t>
      </w:r>
      <w:r>
        <w:rPr>
          <w:rFonts w:ascii="Times-Italic" w:hAnsi="Times-Italic" w:cs="Times-Italic" w:hint="eastAsia"/>
          <w:iCs/>
          <w:color w:val="000000"/>
          <w:sz w:val="21"/>
          <w:szCs w:val="21"/>
        </w:rPr>
        <w:t xml:space="preserve"> </w:t>
      </w:r>
      <w:r w:rsidRPr="00BB5EA3">
        <w:rPr>
          <w:rFonts w:ascii="Times-Italic" w:hAnsi="Times-Italic" w:cs="Times-Italic"/>
          <w:iCs/>
          <w:color w:val="000000"/>
          <w:sz w:val="21"/>
          <w:szCs w:val="21"/>
        </w:rPr>
        <w:t>achieve sustainable urban structures that also emphasized regional characteristics</w:t>
      </w:r>
      <w:r>
        <w:rPr>
          <w:rFonts w:ascii="Times-Italic" w:hAnsi="Times-Italic" w:cs="Times-Italic" w:hint="eastAsia"/>
          <w:iCs/>
          <w:color w:val="000000"/>
          <w:sz w:val="21"/>
          <w:szCs w:val="21"/>
        </w:rPr>
        <w:t xml:space="preserve"> </w:t>
      </w:r>
      <w:r w:rsidRPr="00BB5EA3">
        <w:rPr>
          <w:rFonts w:ascii="Times-Italic" w:hAnsi="Times-Italic" w:cs="Times-Italic"/>
          <w:iCs/>
          <w:color w:val="000000"/>
          <w:sz w:val="21"/>
          <w:szCs w:val="21"/>
        </w:rPr>
        <w:t>and planning factors based on the goal of the projects. As a result, we concluded</w:t>
      </w:r>
      <w:r>
        <w:rPr>
          <w:rFonts w:ascii="Times-Italic" w:hAnsi="Times-Italic" w:cs="Times-Italic" w:hint="eastAsia"/>
          <w:iCs/>
          <w:color w:val="000000"/>
          <w:sz w:val="21"/>
          <w:szCs w:val="21"/>
        </w:rPr>
        <w:t xml:space="preserve"> </w:t>
      </w:r>
      <w:r w:rsidRPr="00BB5EA3">
        <w:rPr>
          <w:rFonts w:ascii="Times-Italic" w:hAnsi="Times-Italic" w:cs="Times-Italic"/>
          <w:iCs/>
          <w:color w:val="000000"/>
          <w:sz w:val="21"/>
          <w:szCs w:val="21"/>
        </w:rPr>
        <w:t>that a sustainable urban regeneration project should be based on integrated</w:t>
      </w:r>
      <w:r>
        <w:rPr>
          <w:rFonts w:ascii="Times-Italic" w:hAnsi="Times-Italic" w:cs="Times-Italic" w:hint="eastAsia"/>
          <w:iCs/>
          <w:color w:val="000000"/>
          <w:sz w:val="21"/>
          <w:szCs w:val="21"/>
        </w:rPr>
        <w:t xml:space="preserve">  </w:t>
      </w:r>
      <w:r w:rsidRPr="00BB5EA3">
        <w:rPr>
          <w:rFonts w:ascii="Times-Italic" w:hAnsi="Times-Italic" w:cs="Times-Italic"/>
          <w:iCs/>
          <w:color w:val="000000"/>
          <w:sz w:val="21"/>
          <w:szCs w:val="21"/>
        </w:rPr>
        <w:t>consideration in local context, transport systems and regional characteristics.</w:t>
      </w:r>
    </w:p>
    <w:sectPr w:rsidR="00BB5EA3" w:rsidRPr="00BB5E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Interstate-Light">
    <w:altName w:val="Times New Roman"/>
    <w:panose1 w:val="00000000000000000000"/>
    <w:charset w:val="00"/>
    <w:family w:val="auto"/>
    <w:notTrueType/>
    <w:pitch w:val="default"/>
    <w:sig w:usb0="00000003" w:usb1="00000000" w:usb2="00000000" w:usb3="00000000" w:csb0="00000001" w:csb1="00000000"/>
  </w:font>
  <w:font w:name="Interstate-Regular">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AvenirNextLTPro-Bold">
    <w:altName w:val="Arial"/>
    <w:panose1 w:val="00000000000000000000"/>
    <w:charset w:val="00"/>
    <w:family w:val="swiss"/>
    <w:notTrueType/>
    <w:pitch w:val="default"/>
    <w:sig w:usb0="00000003" w:usb1="00000000" w:usb2="00000000" w:usb3="00000000" w:csb0="00000001" w:csb1="00000000"/>
  </w:font>
  <w:font w:name="AvenirNextLTPro-Medium">
    <w:altName w:val="Arial"/>
    <w:panose1 w:val="00000000000000000000"/>
    <w:charset w:val="00"/>
    <w:family w:val="swiss"/>
    <w:notTrueType/>
    <w:pitch w:val="default"/>
    <w:sig w:usb0="00000003" w:usb1="00000000" w:usb2="00000000" w:usb3="00000000" w:csb0="00000001" w:csb1="00000000"/>
  </w:font>
  <w:font w:name="MercuryTextG3-Italic">
    <w:altName w:val="Times New Roma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429"/>
    <w:rsid w:val="00994429"/>
    <w:rsid w:val="009B53BA"/>
    <w:rsid w:val="00A07955"/>
    <w:rsid w:val="00AE2FC8"/>
    <w:rsid w:val="00BB5EA3"/>
    <w:rsid w:val="00BF6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2ABD86E-EBDA-4A22-B6B8-4E055B783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1142</Words>
  <Characters>6510</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中津川 みゆき</dc:creator>
  <cp:lastModifiedBy>Elwood</cp:lastModifiedBy>
  <cp:revision>4</cp:revision>
  <dcterms:created xsi:type="dcterms:W3CDTF">2017-01-17T10:35:00Z</dcterms:created>
  <dcterms:modified xsi:type="dcterms:W3CDTF">2017-01-23T06:33:00Z</dcterms:modified>
</cp:coreProperties>
</file>